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0F" w:rsidRPr="00F75183" w:rsidRDefault="00A4700F" w:rsidP="00075C81">
      <w:pPr>
        <w:pStyle w:val="Pa0"/>
        <w:spacing w:line="250" w:lineRule="exact"/>
        <w:jc w:val="center"/>
        <w:rPr>
          <w:rStyle w:val="A3"/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F75183">
        <w:rPr>
          <w:rStyle w:val="A3"/>
          <w:rFonts w:asciiTheme="minorHAnsi" w:hAnsiTheme="minorHAnsi" w:cstheme="minorHAnsi"/>
          <w:b/>
          <w:sz w:val="28"/>
          <w:szCs w:val="28"/>
          <w:u w:val="single"/>
        </w:rPr>
        <w:t>GPL</w:t>
      </w:r>
    </w:p>
    <w:p w:rsidR="00A4700F" w:rsidRPr="00A4700F" w:rsidRDefault="00A4700F" w:rsidP="00A4700F"/>
    <w:p w:rsidR="00075C81" w:rsidRPr="00075C81" w:rsidRDefault="00075C81" w:rsidP="00075C81">
      <w:pPr>
        <w:pStyle w:val="Pa0"/>
        <w:spacing w:line="250" w:lineRule="exact"/>
        <w:jc w:val="center"/>
        <w:rPr>
          <w:rStyle w:val="A3"/>
          <w:rFonts w:asciiTheme="minorHAnsi" w:hAnsiTheme="minorHAnsi" w:cstheme="minorHAnsi"/>
          <w:b/>
          <w:sz w:val="22"/>
          <w:szCs w:val="22"/>
        </w:rPr>
      </w:pPr>
      <w:r w:rsidRPr="00075C81">
        <w:rPr>
          <w:rStyle w:val="A3"/>
          <w:rFonts w:asciiTheme="minorHAnsi" w:hAnsiTheme="minorHAnsi" w:cstheme="minorHAnsi"/>
          <w:b/>
          <w:sz w:val="22"/>
          <w:szCs w:val="22"/>
        </w:rPr>
        <w:t>IL MERCATO DEL GPL AUTOTRAZIONE IN ITALIA: VANTAGGI ED OPPORTUNITÀ</w:t>
      </w:r>
    </w:p>
    <w:p w:rsidR="00075C81" w:rsidRDefault="00075C81" w:rsidP="00AF4B50">
      <w:pPr>
        <w:pStyle w:val="Pa0"/>
        <w:spacing w:line="250" w:lineRule="exact"/>
        <w:jc w:val="both"/>
        <w:rPr>
          <w:rStyle w:val="A3"/>
          <w:rFonts w:asciiTheme="minorHAnsi" w:hAnsiTheme="minorHAnsi" w:cstheme="minorHAnsi"/>
          <w:sz w:val="22"/>
          <w:szCs w:val="22"/>
        </w:rPr>
      </w:pPr>
    </w:p>
    <w:p w:rsidR="00B66418" w:rsidRPr="002870E5" w:rsidRDefault="001C47A4" w:rsidP="00AF4B50">
      <w:pPr>
        <w:pStyle w:val="Pa0"/>
        <w:spacing w:line="250" w:lineRule="exact"/>
        <w:jc w:val="both"/>
        <w:rPr>
          <w:rFonts w:ascii="Calibri" w:hAnsi="Calibri" w:cs="Calibri"/>
          <w:sz w:val="22"/>
          <w:szCs w:val="22"/>
        </w:rPr>
      </w:pPr>
      <w:r w:rsidRPr="00791779">
        <w:rPr>
          <w:rStyle w:val="A3"/>
          <w:rFonts w:asciiTheme="minorHAnsi" w:hAnsiTheme="minorHAnsi" w:cstheme="minorHAnsi"/>
          <w:sz w:val="22"/>
          <w:szCs w:val="22"/>
        </w:rPr>
        <w:t>Sicuro, disponibile, ecologico</w:t>
      </w:r>
      <w:r w:rsidR="00771939" w:rsidRPr="00791779">
        <w:rPr>
          <w:rStyle w:val="A3"/>
          <w:rFonts w:asciiTheme="minorHAnsi" w:hAnsiTheme="minorHAnsi" w:cstheme="minorHAnsi"/>
          <w:sz w:val="22"/>
          <w:szCs w:val="22"/>
        </w:rPr>
        <w:t xml:space="preserve"> e flessibile</w:t>
      </w:r>
      <w:r w:rsidRPr="00791779">
        <w:rPr>
          <w:rStyle w:val="A3"/>
          <w:rFonts w:asciiTheme="minorHAnsi" w:hAnsiTheme="minorHAnsi" w:cstheme="minorHAnsi"/>
          <w:sz w:val="22"/>
          <w:szCs w:val="22"/>
        </w:rPr>
        <w:t xml:space="preserve">, </w:t>
      </w:r>
      <w:r w:rsidRPr="00791779">
        <w:rPr>
          <w:rStyle w:val="A3"/>
          <w:rFonts w:asciiTheme="minorHAnsi" w:hAnsiTheme="minorHAnsi" w:cstheme="minorHAnsi"/>
          <w:b/>
          <w:bCs/>
          <w:sz w:val="22"/>
          <w:szCs w:val="22"/>
        </w:rPr>
        <w:t>il GPL è un’alternativa so</w:t>
      </w:r>
      <w:r w:rsidRPr="00791779">
        <w:rPr>
          <w:rStyle w:val="A3"/>
          <w:rFonts w:asciiTheme="minorHAnsi" w:hAnsiTheme="minorHAnsi" w:cstheme="minorHAnsi"/>
          <w:b/>
          <w:bCs/>
          <w:sz w:val="22"/>
          <w:szCs w:val="22"/>
        </w:rPr>
        <w:softHyphen/>
        <w:t>stenibile</w:t>
      </w:r>
      <w:r w:rsidR="00771939" w:rsidRPr="00791779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e già disponibile</w:t>
      </w:r>
      <w:r w:rsidR="00B66418" w:rsidRPr="003877DA">
        <w:rPr>
          <w:rFonts w:ascii="Calibri" w:hAnsi="Calibri" w:cs="Calibri"/>
          <w:sz w:val="22"/>
          <w:szCs w:val="22"/>
        </w:rPr>
        <w:t xml:space="preserve"> che in Italia ed in Europa vanta il maggior utilizzo, disponendo di una rete</w:t>
      </w:r>
      <w:r w:rsidR="00B66418" w:rsidRPr="00AF4B50">
        <w:rPr>
          <w:rFonts w:ascii="Calibri" w:hAnsi="Calibri" w:cs="Calibri"/>
        </w:rPr>
        <w:t xml:space="preserve"> </w:t>
      </w:r>
      <w:r w:rsidR="00B66418" w:rsidRPr="002870E5">
        <w:rPr>
          <w:rFonts w:ascii="Calibri" w:hAnsi="Calibri" w:cs="Calibri"/>
          <w:sz w:val="22"/>
          <w:szCs w:val="22"/>
        </w:rPr>
        <w:t>di distribuzione già molto sviluppata.</w:t>
      </w:r>
    </w:p>
    <w:p w:rsidR="00BD1DE7" w:rsidRPr="00791779" w:rsidRDefault="00487CDA" w:rsidP="00AF4B50">
      <w:pPr>
        <w:spacing w:line="250" w:lineRule="exact"/>
        <w:jc w:val="both"/>
        <w:rPr>
          <w:rStyle w:val="A3"/>
          <w:rFonts w:eastAsiaTheme="minorEastAsia" w:cstheme="minorHAnsi"/>
          <w:sz w:val="22"/>
          <w:szCs w:val="22"/>
          <w:lang w:eastAsia="it-IT"/>
        </w:rPr>
      </w:pPr>
      <w:r w:rsidRPr="00791779">
        <w:rPr>
          <w:rStyle w:val="A3"/>
          <w:rFonts w:cstheme="minorHAnsi"/>
          <w:bCs/>
          <w:sz w:val="22"/>
          <w:szCs w:val="22"/>
        </w:rPr>
        <w:t xml:space="preserve">Ma la sostenibilità non si ferma alle emissioni dei veicoli </w:t>
      </w:r>
      <w:r w:rsidR="00F24364" w:rsidRPr="00791779">
        <w:rPr>
          <w:rStyle w:val="A3"/>
          <w:rFonts w:cstheme="minorHAnsi"/>
          <w:bCs/>
          <w:sz w:val="22"/>
          <w:szCs w:val="22"/>
        </w:rPr>
        <w:t>e</w:t>
      </w:r>
      <w:r w:rsidRPr="00791779">
        <w:rPr>
          <w:rStyle w:val="A3"/>
          <w:rFonts w:cstheme="minorHAnsi"/>
          <w:bCs/>
          <w:sz w:val="22"/>
          <w:szCs w:val="22"/>
        </w:rPr>
        <w:t xml:space="preserve"> deve essere valutata lungo tutta la filiera dalla produzione alla distribuzione; in quest’ottica giova</w:t>
      </w:r>
      <w:r w:rsidR="003239BC" w:rsidRPr="00791779">
        <w:rPr>
          <w:rStyle w:val="A3"/>
          <w:rFonts w:cstheme="minorHAnsi"/>
          <w:bCs/>
          <w:sz w:val="22"/>
          <w:szCs w:val="22"/>
        </w:rPr>
        <w:t xml:space="preserve"> evidenziare</w:t>
      </w:r>
      <w:r w:rsidR="0015666B" w:rsidRPr="00791779">
        <w:rPr>
          <w:rStyle w:val="A3"/>
          <w:rFonts w:cstheme="minorHAnsi"/>
          <w:bCs/>
          <w:sz w:val="22"/>
          <w:szCs w:val="22"/>
        </w:rPr>
        <w:t xml:space="preserve"> come l’industria del GPL sia intrinsecamente legata ad un </w:t>
      </w:r>
      <w:r w:rsidR="0015666B" w:rsidRPr="00FA5EA5">
        <w:rPr>
          <w:rStyle w:val="A3"/>
          <w:rFonts w:cstheme="minorHAnsi"/>
          <w:b/>
          <w:sz w:val="22"/>
          <w:szCs w:val="22"/>
        </w:rPr>
        <w:t>modello economico di tipo circolare</w:t>
      </w:r>
      <w:r w:rsidR="00FA5EA5">
        <w:rPr>
          <w:rStyle w:val="A3"/>
          <w:rFonts w:cstheme="minorHAnsi"/>
          <w:bCs/>
          <w:sz w:val="22"/>
          <w:szCs w:val="22"/>
        </w:rPr>
        <w:t>:</w:t>
      </w:r>
      <w:r w:rsidR="0015666B" w:rsidRPr="00791779">
        <w:rPr>
          <w:rStyle w:val="A3"/>
          <w:rFonts w:cstheme="minorHAnsi"/>
          <w:bCs/>
          <w:sz w:val="22"/>
          <w:szCs w:val="22"/>
        </w:rPr>
        <w:t xml:space="preserve"> essendo il GPL </w:t>
      </w:r>
      <w:r w:rsidR="00A575FA" w:rsidRPr="00791779">
        <w:rPr>
          <w:rStyle w:val="A3"/>
          <w:rFonts w:cstheme="minorHAnsi"/>
          <w:bCs/>
          <w:sz w:val="22"/>
          <w:szCs w:val="22"/>
        </w:rPr>
        <w:t>un prodotto</w:t>
      </w:r>
      <w:r w:rsidR="00F24364" w:rsidRPr="00791779">
        <w:rPr>
          <w:rStyle w:val="A3"/>
          <w:rFonts w:cstheme="minorHAnsi"/>
          <w:bCs/>
          <w:sz w:val="22"/>
          <w:szCs w:val="22"/>
        </w:rPr>
        <w:t xml:space="preserve"> </w:t>
      </w:r>
      <w:r w:rsidR="0015666B" w:rsidRPr="00791779">
        <w:rPr>
          <w:rStyle w:val="A3"/>
          <w:rFonts w:cstheme="minorHAnsi"/>
          <w:bCs/>
          <w:sz w:val="22"/>
          <w:szCs w:val="22"/>
        </w:rPr>
        <w:t>associato ai processi di raffinazione ed alle attività estrattive di gas naturale</w:t>
      </w:r>
      <w:r w:rsidR="00A575FA" w:rsidRPr="00791779">
        <w:rPr>
          <w:rStyle w:val="A3"/>
          <w:rFonts w:cstheme="minorHAnsi"/>
          <w:bCs/>
          <w:sz w:val="22"/>
          <w:szCs w:val="22"/>
        </w:rPr>
        <w:t>,</w:t>
      </w:r>
      <w:r w:rsidR="00BD1DE7" w:rsidRPr="00791779">
        <w:rPr>
          <w:rStyle w:val="A3"/>
          <w:rFonts w:cstheme="minorHAnsi"/>
          <w:bCs/>
          <w:sz w:val="22"/>
          <w:szCs w:val="22"/>
        </w:rPr>
        <w:t xml:space="preserve"> il suo </w:t>
      </w:r>
      <w:r w:rsidR="0015666B" w:rsidRPr="00791779">
        <w:rPr>
          <w:rStyle w:val="A3"/>
          <w:rFonts w:cstheme="minorHAnsi"/>
          <w:bCs/>
          <w:sz w:val="22"/>
          <w:szCs w:val="22"/>
        </w:rPr>
        <w:t xml:space="preserve">utilizzo </w:t>
      </w:r>
      <w:r w:rsidR="00BD1DE7" w:rsidRPr="00791779">
        <w:rPr>
          <w:rStyle w:val="A3"/>
          <w:rFonts w:cstheme="minorHAnsi"/>
          <w:bCs/>
          <w:sz w:val="22"/>
          <w:szCs w:val="22"/>
        </w:rPr>
        <w:t>nei</w:t>
      </w:r>
      <w:r w:rsidR="0015666B" w:rsidRPr="00791779">
        <w:rPr>
          <w:rStyle w:val="A3"/>
          <w:rFonts w:cstheme="minorHAnsi"/>
          <w:bCs/>
          <w:sz w:val="22"/>
          <w:szCs w:val="22"/>
        </w:rPr>
        <w:t xml:space="preserve"> diversi impieghi rappresenta a tutti gli effetti un processo di eff</w:t>
      </w:r>
      <w:r w:rsidR="002870E5">
        <w:rPr>
          <w:rStyle w:val="A3"/>
          <w:rFonts w:cstheme="minorHAnsi"/>
          <w:bCs/>
          <w:sz w:val="22"/>
          <w:szCs w:val="22"/>
        </w:rPr>
        <w:t>i</w:t>
      </w:r>
      <w:r w:rsidR="0015666B" w:rsidRPr="00791779">
        <w:rPr>
          <w:rStyle w:val="A3"/>
          <w:rFonts w:cstheme="minorHAnsi"/>
          <w:bCs/>
          <w:sz w:val="22"/>
          <w:szCs w:val="22"/>
        </w:rPr>
        <w:t>cientamento e di riduzione della emissioni a monte della catena d</w:t>
      </w:r>
      <w:r w:rsidR="00A575FA" w:rsidRPr="00791779">
        <w:rPr>
          <w:rStyle w:val="A3"/>
          <w:rFonts w:cstheme="minorHAnsi"/>
          <w:bCs/>
          <w:sz w:val="22"/>
          <w:szCs w:val="22"/>
        </w:rPr>
        <w:t>el</w:t>
      </w:r>
      <w:r w:rsidR="0015666B" w:rsidRPr="00791779">
        <w:rPr>
          <w:rStyle w:val="A3"/>
          <w:rFonts w:cstheme="minorHAnsi"/>
          <w:bCs/>
          <w:sz w:val="22"/>
          <w:szCs w:val="22"/>
        </w:rPr>
        <w:t xml:space="preserve"> valore.</w:t>
      </w:r>
    </w:p>
    <w:p w:rsidR="00F347AD" w:rsidRPr="00142037" w:rsidRDefault="008F06A1" w:rsidP="00AF4B50">
      <w:pPr>
        <w:spacing w:after="0" w:line="250" w:lineRule="exact"/>
        <w:rPr>
          <w:rFonts w:cstheme="minorHAnsi"/>
          <w:b/>
          <w:bCs/>
          <w:u w:val="single"/>
        </w:rPr>
      </w:pPr>
      <w:r w:rsidRPr="00142037">
        <w:rPr>
          <w:rFonts w:cstheme="minorHAnsi"/>
          <w:b/>
          <w:bCs/>
          <w:u w:val="single"/>
        </w:rPr>
        <w:t>RETE DISTRIBUZIONE</w:t>
      </w:r>
      <w:r w:rsidR="003877DA">
        <w:rPr>
          <w:rFonts w:cstheme="minorHAnsi"/>
          <w:b/>
          <w:bCs/>
          <w:u w:val="single"/>
        </w:rPr>
        <w:t>:</w:t>
      </w:r>
    </w:p>
    <w:p w:rsidR="001C47A4" w:rsidRDefault="001C47A4" w:rsidP="00AF4B50">
      <w:pPr>
        <w:pStyle w:val="Pa0"/>
        <w:spacing w:line="250" w:lineRule="exact"/>
        <w:jc w:val="both"/>
        <w:rPr>
          <w:rStyle w:val="A3"/>
          <w:rFonts w:asciiTheme="minorHAnsi" w:hAnsiTheme="minorHAnsi" w:cstheme="minorHAnsi"/>
          <w:sz w:val="22"/>
          <w:szCs w:val="22"/>
        </w:rPr>
      </w:pPr>
      <w:r w:rsidRPr="00456860">
        <w:rPr>
          <w:rStyle w:val="A3"/>
          <w:rFonts w:asciiTheme="minorHAnsi" w:hAnsiTheme="minorHAnsi" w:cstheme="minorHAnsi"/>
          <w:sz w:val="22"/>
          <w:szCs w:val="22"/>
        </w:rPr>
        <w:t>Il carburante è di facile reperibilità, poiché viene erogato presso</w:t>
      </w:r>
      <w:r w:rsidR="00FD4B8D" w:rsidRPr="00456860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  <w:r w:rsidR="00362132">
        <w:rPr>
          <w:rStyle w:val="A3"/>
          <w:rFonts w:asciiTheme="minorHAnsi" w:hAnsiTheme="minorHAnsi" w:cstheme="minorHAnsi"/>
          <w:b/>
          <w:bCs/>
          <w:sz w:val="22"/>
          <w:szCs w:val="22"/>
        </w:rPr>
        <w:t>quasi</w:t>
      </w:r>
      <w:r w:rsidRPr="00456860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4.</w:t>
      </w:r>
      <w:r w:rsidR="00362132">
        <w:rPr>
          <w:rStyle w:val="A3"/>
          <w:rFonts w:asciiTheme="minorHAnsi" w:hAnsiTheme="minorHAnsi" w:cstheme="minorHAnsi"/>
          <w:b/>
          <w:bCs/>
          <w:sz w:val="22"/>
          <w:szCs w:val="22"/>
        </w:rPr>
        <w:t>3</w:t>
      </w:r>
      <w:r w:rsidRPr="00456860">
        <w:rPr>
          <w:rStyle w:val="A3"/>
          <w:rFonts w:asciiTheme="minorHAnsi" w:hAnsiTheme="minorHAnsi" w:cstheme="minorHAnsi"/>
          <w:b/>
          <w:bCs/>
          <w:sz w:val="22"/>
          <w:szCs w:val="22"/>
        </w:rPr>
        <w:t>00 distributori stradali</w:t>
      </w:r>
      <w:r w:rsidRPr="00456860">
        <w:rPr>
          <w:rStyle w:val="A3"/>
          <w:rFonts w:asciiTheme="minorHAnsi" w:hAnsiTheme="minorHAnsi" w:cstheme="minorHAnsi"/>
          <w:sz w:val="22"/>
          <w:szCs w:val="22"/>
        </w:rPr>
        <w:t xml:space="preserve"> dislocati su tutto il territorio nazionale</w:t>
      </w:r>
      <w:r w:rsidR="002870E5">
        <w:rPr>
          <w:rStyle w:val="A3"/>
          <w:rFonts w:asciiTheme="minorHAnsi" w:hAnsiTheme="minorHAnsi" w:cstheme="minorHAnsi"/>
          <w:sz w:val="22"/>
          <w:szCs w:val="22"/>
        </w:rPr>
        <w:t xml:space="preserve"> (isole comprese)</w:t>
      </w:r>
      <w:r w:rsidR="00FD4B8D" w:rsidRPr="00456860">
        <w:rPr>
          <w:rStyle w:val="A3"/>
          <w:rFonts w:asciiTheme="minorHAnsi" w:hAnsiTheme="minorHAnsi" w:cstheme="minorHAnsi"/>
          <w:sz w:val="22"/>
          <w:szCs w:val="22"/>
        </w:rPr>
        <w:t xml:space="preserve"> asserviti ad un </w:t>
      </w:r>
      <w:r w:rsidR="00FD4B8D" w:rsidRPr="00456860">
        <w:rPr>
          <w:rStyle w:val="A3"/>
          <w:rFonts w:asciiTheme="minorHAnsi" w:hAnsiTheme="minorHAnsi" w:cstheme="minorHAnsi"/>
          <w:b/>
          <w:bCs/>
          <w:sz w:val="22"/>
          <w:szCs w:val="22"/>
        </w:rPr>
        <w:t>parco auto</w:t>
      </w:r>
      <w:r w:rsidR="00700553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circolante</w:t>
      </w:r>
      <w:r w:rsidR="00FD4B8D" w:rsidRPr="00456860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0553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che nel 2019 contava </w:t>
      </w:r>
      <w:r w:rsidR="00FD4B8D" w:rsidRPr="00456860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6860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oltre </w:t>
      </w:r>
      <w:r w:rsidR="00700553">
        <w:rPr>
          <w:rStyle w:val="A3"/>
          <w:rFonts w:asciiTheme="minorHAnsi" w:hAnsiTheme="minorHAnsi" w:cstheme="minorHAnsi"/>
          <w:b/>
          <w:bCs/>
          <w:sz w:val="22"/>
          <w:szCs w:val="22"/>
        </w:rPr>
        <w:t>2,5</w:t>
      </w:r>
      <w:r w:rsidRPr="00456860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milioni di ve</w:t>
      </w:r>
      <w:r w:rsidR="00FD4B8D" w:rsidRPr="00456860">
        <w:rPr>
          <w:rStyle w:val="A3"/>
          <w:rFonts w:asciiTheme="minorHAnsi" w:hAnsiTheme="minorHAnsi" w:cstheme="minorHAnsi"/>
          <w:b/>
          <w:bCs/>
          <w:sz w:val="22"/>
          <w:szCs w:val="22"/>
        </w:rPr>
        <w:t>icoli</w:t>
      </w:r>
      <w:r w:rsidR="00FD4B8D" w:rsidRPr="00456860">
        <w:rPr>
          <w:rStyle w:val="A3"/>
          <w:rFonts w:asciiTheme="minorHAnsi" w:hAnsiTheme="minorHAnsi" w:cstheme="minorHAnsi"/>
          <w:sz w:val="22"/>
          <w:szCs w:val="22"/>
        </w:rPr>
        <w:t>.</w:t>
      </w:r>
      <w:r w:rsidR="00312557" w:rsidRPr="00456860">
        <w:rPr>
          <w:rStyle w:val="A3"/>
          <w:rFonts w:asciiTheme="minorHAnsi" w:hAnsiTheme="minorHAnsi" w:cstheme="minorHAnsi"/>
          <w:sz w:val="22"/>
          <w:szCs w:val="22"/>
        </w:rPr>
        <w:t xml:space="preserve"> Il GPL è il carburante alternativo più diffuso in Europa e ciò consente ai proprietari di viaggiare senza il timore di non potersi rifornire.</w:t>
      </w:r>
    </w:p>
    <w:p w:rsidR="003877DA" w:rsidRDefault="003877DA" w:rsidP="00AF4B50">
      <w:pPr>
        <w:spacing w:after="0" w:line="250" w:lineRule="exact"/>
        <w:jc w:val="both"/>
        <w:rPr>
          <w:rFonts w:cstheme="minorHAnsi"/>
          <w:b/>
          <w:bCs/>
          <w:u w:val="single"/>
        </w:rPr>
      </w:pPr>
    </w:p>
    <w:p w:rsidR="00456860" w:rsidRPr="00142037" w:rsidRDefault="00456860" w:rsidP="00AF4B50">
      <w:pPr>
        <w:spacing w:after="0" w:line="250" w:lineRule="exact"/>
        <w:jc w:val="both"/>
        <w:rPr>
          <w:rFonts w:cstheme="minorHAnsi"/>
          <w:b/>
          <w:bCs/>
          <w:u w:val="single"/>
        </w:rPr>
      </w:pPr>
      <w:r w:rsidRPr="00142037">
        <w:rPr>
          <w:rFonts w:cstheme="minorHAnsi"/>
          <w:b/>
          <w:bCs/>
          <w:u w:val="single"/>
        </w:rPr>
        <w:t>TECNOLOGIA MOTORISTICA:</w:t>
      </w:r>
    </w:p>
    <w:p w:rsidR="00456860" w:rsidRDefault="00456860" w:rsidP="00AF4B50">
      <w:pPr>
        <w:spacing w:line="250" w:lineRule="exact"/>
        <w:jc w:val="both"/>
        <w:rPr>
          <w:rFonts w:cstheme="minorHAnsi"/>
        </w:rPr>
      </w:pPr>
      <w:r w:rsidRPr="00791779">
        <w:rPr>
          <w:rFonts w:cstheme="minorHAnsi"/>
        </w:rPr>
        <w:t>Attraverso la ricerca e sviluppo</w:t>
      </w:r>
      <w:r>
        <w:rPr>
          <w:rFonts w:cstheme="minorHAnsi"/>
        </w:rPr>
        <w:t xml:space="preserve"> delle</w:t>
      </w:r>
      <w:r w:rsidRPr="00791779">
        <w:rPr>
          <w:rFonts w:cstheme="minorHAnsi"/>
        </w:rPr>
        <w:t xml:space="preserve"> aziende italiane </w:t>
      </w:r>
      <w:r w:rsidRPr="00FA5EA5">
        <w:rPr>
          <w:rFonts w:cstheme="minorHAnsi"/>
          <w:b/>
          <w:bCs/>
        </w:rPr>
        <w:t>leader nel settore a livello mondiale</w:t>
      </w:r>
      <w:r>
        <w:rPr>
          <w:rFonts w:cstheme="minorHAnsi"/>
        </w:rPr>
        <w:t>,</w:t>
      </w:r>
      <w:r w:rsidRPr="00791779">
        <w:rPr>
          <w:rFonts w:cstheme="minorHAnsi"/>
        </w:rPr>
        <w:t xml:space="preserve"> anche i nuovi motori ad iniezione diretta benzina possono essere alimentati a GPL con tecnologie innovative che consentono vantaggi dal punto di vista ambientale </w:t>
      </w:r>
      <w:r>
        <w:rPr>
          <w:rFonts w:cstheme="minorHAnsi"/>
        </w:rPr>
        <w:t>e</w:t>
      </w:r>
      <w:r w:rsidRPr="00791779">
        <w:rPr>
          <w:rFonts w:cstheme="minorHAnsi"/>
        </w:rPr>
        <w:t xml:space="preserve"> prestazioni in grado di </w:t>
      </w:r>
      <w:r w:rsidRPr="00456860">
        <w:rPr>
          <w:rFonts w:cstheme="minorHAnsi"/>
          <w:b/>
          <w:bCs/>
        </w:rPr>
        <w:t>mantenere inalterata l’esperienza di guida</w:t>
      </w:r>
      <w:r w:rsidRPr="00791779">
        <w:rPr>
          <w:rFonts w:cstheme="minorHAnsi"/>
        </w:rPr>
        <w:t xml:space="preserve"> del veicolo.</w:t>
      </w:r>
      <w:r>
        <w:rPr>
          <w:rFonts w:cstheme="minorHAnsi"/>
        </w:rPr>
        <w:t xml:space="preserve"> L</w:t>
      </w:r>
      <w:r w:rsidRPr="00791779">
        <w:rPr>
          <w:rFonts w:cstheme="minorHAnsi"/>
        </w:rPr>
        <w:t xml:space="preserve">’impiego della tecnologia GPL port injection nei motori che utilizzano l’iniezione diretta di benzina nella camera di combustione, offre il grande vantaggio della drastica riduzione di </w:t>
      </w:r>
      <w:r>
        <w:rPr>
          <w:rFonts w:cstheme="minorHAnsi"/>
        </w:rPr>
        <w:t>polveri sottili</w:t>
      </w:r>
      <w:r w:rsidRPr="00791779">
        <w:rPr>
          <w:rFonts w:cstheme="minorHAnsi"/>
        </w:rPr>
        <w:t xml:space="preserve">. </w:t>
      </w:r>
      <w:r>
        <w:rPr>
          <w:rFonts w:cstheme="minorHAnsi"/>
        </w:rPr>
        <w:t>U</w:t>
      </w:r>
      <w:r w:rsidRPr="00791779">
        <w:rPr>
          <w:rFonts w:cstheme="minorHAnsi"/>
        </w:rPr>
        <w:t xml:space="preserve">n’industria che non si limita a seguire il mercato ma che </w:t>
      </w:r>
      <w:r w:rsidRPr="00456860">
        <w:rPr>
          <w:rFonts w:cstheme="minorHAnsi"/>
          <w:b/>
          <w:bCs/>
        </w:rPr>
        <w:t>progetta un futuro</w:t>
      </w:r>
      <w:r w:rsidRPr="00791779">
        <w:rPr>
          <w:rFonts w:cstheme="minorHAnsi"/>
        </w:rPr>
        <w:t xml:space="preserve"> solido e lungo dirige verso livelli di integrazione con il veicolo sempre più elevati, fino alla possibilità di realizzare </w:t>
      </w:r>
      <w:r w:rsidRPr="00456860">
        <w:rPr>
          <w:rFonts w:cstheme="minorHAnsi"/>
          <w:b/>
          <w:bCs/>
        </w:rPr>
        <w:t>vetture mono-</w:t>
      </w:r>
      <w:proofErr w:type="spellStart"/>
      <w:r w:rsidRPr="00456860">
        <w:rPr>
          <w:rFonts w:cstheme="minorHAnsi"/>
          <w:b/>
          <w:bCs/>
        </w:rPr>
        <w:t>fuel</w:t>
      </w:r>
      <w:proofErr w:type="spellEnd"/>
      <w:r w:rsidRPr="00456860">
        <w:rPr>
          <w:rFonts w:cstheme="minorHAnsi"/>
          <w:b/>
          <w:bCs/>
        </w:rPr>
        <w:t xml:space="preserve"> alimentate solo a GPL.</w:t>
      </w:r>
      <w:r w:rsidRPr="00D106B5">
        <w:rPr>
          <w:rFonts w:cstheme="minorHAnsi"/>
        </w:rPr>
        <w:t xml:space="preserve"> </w:t>
      </w:r>
    </w:p>
    <w:p w:rsidR="008F06A1" w:rsidRPr="00142037" w:rsidRDefault="008F06A1" w:rsidP="00AF4B50">
      <w:pPr>
        <w:spacing w:after="0" w:line="250" w:lineRule="exact"/>
        <w:jc w:val="both"/>
        <w:rPr>
          <w:rFonts w:cstheme="minorHAnsi"/>
          <w:b/>
          <w:bCs/>
          <w:u w:val="single"/>
        </w:rPr>
      </w:pPr>
      <w:r w:rsidRPr="00142037">
        <w:rPr>
          <w:rFonts w:cstheme="minorHAnsi"/>
          <w:b/>
          <w:bCs/>
          <w:u w:val="single"/>
        </w:rPr>
        <w:t>VANTAGGIO AMBIENTALE</w:t>
      </w:r>
      <w:r w:rsidR="003877DA">
        <w:rPr>
          <w:rFonts w:cstheme="minorHAnsi"/>
          <w:b/>
          <w:bCs/>
          <w:u w:val="single"/>
        </w:rPr>
        <w:t>:</w:t>
      </w:r>
    </w:p>
    <w:p w:rsidR="00BD1DE7" w:rsidRDefault="00FA5EA5" w:rsidP="00AF4B50">
      <w:pPr>
        <w:spacing w:line="250" w:lineRule="exact"/>
        <w:jc w:val="both"/>
        <w:rPr>
          <w:rFonts w:cstheme="minorHAnsi"/>
        </w:rPr>
      </w:pPr>
      <w:r w:rsidRPr="00456860">
        <w:rPr>
          <w:rFonts w:cstheme="minorHAnsi"/>
        </w:rPr>
        <w:t>I</w:t>
      </w:r>
      <w:r w:rsidR="002F38CA" w:rsidRPr="00456860">
        <w:rPr>
          <w:rFonts w:cstheme="minorHAnsi"/>
        </w:rPr>
        <w:t xml:space="preserve"> benefici</w:t>
      </w:r>
      <w:r w:rsidR="00863E65" w:rsidRPr="00456860">
        <w:rPr>
          <w:rFonts w:cstheme="minorHAnsi"/>
        </w:rPr>
        <w:t xml:space="preserve"> legati all’utilizzo di GPL nel settore trasporti </w:t>
      </w:r>
      <w:r w:rsidRPr="00456860">
        <w:rPr>
          <w:rFonts w:cstheme="minorHAnsi"/>
        </w:rPr>
        <w:t>sono</w:t>
      </w:r>
      <w:r w:rsidR="002F38CA" w:rsidRPr="00456860">
        <w:rPr>
          <w:rFonts w:cstheme="minorHAnsi"/>
        </w:rPr>
        <w:t xml:space="preserve"> apprezzabili su due diverse scale di effetti: a livello globale, registrando una riduzione consistente in termini di</w:t>
      </w:r>
      <w:r w:rsidR="00085ABB" w:rsidRPr="00456860">
        <w:rPr>
          <w:rFonts w:cstheme="minorHAnsi"/>
        </w:rPr>
        <w:t xml:space="preserve"> emissioni di gas climalteranti </w:t>
      </w:r>
      <w:r w:rsidR="002870E5">
        <w:rPr>
          <w:rFonts w:cstheme="minorHAnsi"/>
        </w:rPr>
        <w:t>(CO</w:t>
      </w:r>
      <w:r w:rsidR="002870E5" w:rsidRPr="00F91B83">
        <w:rPr>
          <w:rFonts w:cstheme="minorHAnsi"/>
          <w:vertAlign w:val="subscript"/>
        </w:rPr>
        <w:t>2</w:t>
      </w:r>
      <w:r w:rsidR="002870E5">
        <w:rPr>
          <w:rFonts w:cstheme="minorHAnsi"/>
        </w:rPr>
        <w:t xml:space="preserve">) </w:t>
      </w:r>
      <w:r w:rsidR="00085ABB" w:rsidRPr="00456860">
        <w:rPr>
          <w:rFonts w:cstheme="minorHAnsi"/>
        </w:rPr>
        <w:t>e</w:t>
      </w:r>
      <w:r w:rsidR="002F38CA" w:rsidRPr="00456860">
        <w:rPr>
          <w:rFonts w:cstheme="minorHAnsi"/>
        </w:rPr>
        <w:t xml:space="preserve"> su scala locale, garantendo un netto miglioramento della qualità dell’aria, in funzione di una consistente riduzione delle emissioni</w:t>
      </w:r>
      <w:r w:rsidR="002870E5">
        <w:rPr>
          <w:rFonts w:cstheme="minorHAnsi"/>
        </w:rPr>
        <w:t xml:space="preserve"> di polveri e di altre</w:t>
      </w:r>
      <w:r w:rsidR="002F38CA" w:rsidRPr="00456860">
        <w:rPr>
          <w:rFonts w:cstheme="minorHAnsi"/>
        </w:rPr>
        <w:t xml:space="preserve"> sostanze nocive</w:t>
      </w:r>
      <w:r w:rsidR="001D57EB" w:rsidRPr="00456860">
        <w:rPr>
          <w:rFonts w:cstheme="minorHAnsi"/>
        </w:rPr>
        <w:t>.</w:t>
      </w:r>
      <w:r w:rsidR="00456860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BD1DE7" w:rsidRPr="00791779">
        <w:rPr>
          <w:rFonts w:cstheme="minorHAnsi"/>
        </w:rPr>
        <w:t>a Commissione europea</w:t>
      </w:r>
      <w:r>
        <w:rPr>
          <w:rFonts w:cstheme="minorHAnsi"/>
        </w:rPr>
        <w:t xml:space="preserve"> </w:t>
      </w:r>
      <w:r w:rsidR="00BD1DE7" w:rsidRPr="00791779">
        <w:rPr>
          <w:rFonts w:cstheme="minorHAnsi"/>
        </w:rPr>
        <w:t xml:space="preserve">ha riconosciuto le potenzialità del GPL inserendolo nel novero dei carburanti alternativi, su cui basare il processo di transizione energetica e di decarbonizzazione del settore dei trasporti. </w:t>
      </w:r>
    </w:p>
    <w:p w:rsidR="00400CB8" w:rsidRPr="00400CB8" w:rsidRDefault="00400CB8" w:rsidP="00400CB8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00CB8">
        <w:rPr>
          <w:rFonts w:cstheme="minorHAnsi"/>
          <w:b/>
          <w:bCs/>
          <w:u w:val="single"/>
        </w:rPr>
        <w:t>VANTAGGI ECONOMICI:</w:t>
      </w:r>
    </w:p>
    <w:p w:rsidR="00400CB8" w:rsidRDefault="00400CB8" w:rsidP="00400CB8">
      <w:pPr>
        <w:spacing w:after="0" w:line="240" w:lineRule="auto"/>
        <w:jc w:val="both"/>
        <w:rPr>
          <w:rFonts w:cstheme="minorHAnsi"/>
        </w:rPr>
      </w:pPr>
      <w:r w:rsidRPr="00400CB8">
        <w:rPr>
          <w:rFonts w:cstheme="minorHAnsi"/>
        </w:rPr>
        <w:t>I veicoli a GPL di qualunque cilindrata e grandezza presen</w:t>
      </w:r>
      <w:r w:rsidRPr="00400CB8">
        <w:rPr>
          <w:rFonts w:cstheme="minorHAnsi"/>
        </w:rPr>
        <w:softHyphen/>
        <w:t>tano significativi vantaggi economici rispetto alle auto ali</w:t>
      </w:r>
      <w:r w:rsidRPr="00400CB8">
        <w:rPr>
          <w:rFonts w:cstheme="minorHAnsi"/>
        </w:rPr>
        <w:softHyphen/>
        <w:t>mentate con carbu</w:t>
      </w:r>
      <w:r w:rsidRPr="00400CB8">
        <w:rPr>
          <w:rFonts w:cstheme="minorHAnsi"/>
        </w:rPr>
        <w:softHyphen/>
        <w:t xml:space="preserve">ranti tradizionali. </w:t>
      </w:r>
    </w:p>
    <w:p w:rsidR="00400CB8" w:rsidRPr="00400CB8" w:rsidRDefault="00400CB8" w:rsidP="00400CB8">
      <w:pPr>
        <w:spacing w:after="0" w:line="240" w:lineRule="auto"/>
        <w:jc w:val="both"/>
        <w:rPr>
          <w:rFonts w:cstheme="minorHAnsi"/>
        </w:rPr>
      </w:pPr>
      <w:r w:rsidRPr="00400CB8">
        <w:rPr>
          <w:rFonts w:cstheme="minorHAnsi"/>
        </w:rPr>
        <w:t>L’economia per chi</w:t>
      </w:r>
      <w:r w:rsidRPr="00400CB8">
        <w:rPr>
          <w:rFonts w:cstheme="minorHAnsi"/>
        </w:rPr>
        <w:softHyphen/>
        <w:t>lometro percorso di</w:t>
      </w:r>
      <w:r w:rsidRPr="00400CB8">
        <w:rPr>
          <w:rFonts w:cstheme="minorHAnsi"/>
        </w:rPr>
        <w:softHyphen/>
        <w:t>pende dai consumi specifici delle diffe</w:t>
      </w:r>
      <w:r w:rsidRPr="00400CB8">
        <w:rPr>
          <w:rFonts w:cstheme="minorHAnsi"/>
        </w:rPr>
        <w:softHyphen/>
        <w:t xml:space="preserve">renti automobili e dai prezzi dei carburanti, variabili nel tempo. </w:t>
      </w:r>
    </w:p>
    <w:p w:rsidR="00400CB8" w:rsidRPr="00400CB8" w:rsidRDefault="00400CB8" w:rsidP="00400CB8">
      <w:pPr>
        <w:spacing w:after="0" w:line="240" w:lineRule="auto"/>
        <w:jc w:val="both"/>
        <w:rPr>
          <w:rFonts w:cstheme="minorHAnsi"/>
          <w:b/>
          <w:bCs/>
        </w:rPr>
      </w:pPr>
      <w:r w:rsidRPr="00400CB8">
        <w:rPr>
          <w:rFonts w:cstheme="minorHAnsi"/>
        </w:rPr>
        <w:t xml:space="preserve">Con un veicolo a GPL </w:t>
      </w:r>
      <w:r w:rsidRPr="00400CB8">
        <w:rPr>
          <w:rFonts w:cstheme="minorHAnsi"/>
          <w:b/>
          <w:bCs/>
        </w:rPr>
        <w:t>si spende media</w:t>
      </w:r>
      <w:r w:rsidRPr="00400CB8">
        <w:rPr>
          <w:rFonts w:cstheme="minorHAnsi"/>
          <w:b/>
          <w:bCs/>
        </w:rPr>
        <w:softHyphen/>
        <w:t>mente il 30% in meno rispetto al gasolio e il 50% in meno rispetto alla benzina</w:t>
      </w:r>
      <w:r w:rsidRPr="00400CB8">
        <w:rPr>
          <w:rFonts w:cstheme="minorHAnsi"/>
          <w:b/>
          <w:bCs/>
          <w:vertAlign w:val="superscript"/>
        </w:rPr>
        <w:footnoteReference w:id="1"/>
      </w:r>
      <w:r w:rsidRPr="00400CB8">
        <w:rPr>
          <w:rFonts w:cstheme="minorHAnsi"/>
          <w:b/>
          <w:bCs/>
        </w:rPr>
        <w:t xml:space="preserve">. </w:t>
      </w:r>
    </w:p>
    <w:p w:rsidR="00400CB8" w:rsidRPr="00400CB8" w:rsidRDefault="00400CB8" w:rsidP="00400CB8">
      <w:pPr>
        <w:spacing w:after="0" w:line="240" w:lineRule="auto"/>
        <w:jc w:val="both"/>
        <w:rPr>
          <w:rFonts w:cstheme="minorHAnsi"/>
        </w:rPr>
      </w:pPr>
      <w:r w:rsidRPr="00400CB8">
        <w:rPr>
          <w:rFonts w:cstheme="minorHAnsi"/>
        </w:rPr>
        <w:t>Per quanto riguarda le agevolazioni fiscali, la legge consente alle regioni di esentare dal pagamento della tassa automobilistica regionale i veicoli bi-</w:t>
      </w:r>
      <w:proofErr w:type="spellStart"/>
      <w:r w:rsidRPr="00400CB8">
        <w:rPr>
          <w:rFonts w:cstheme="minorHAnsi"/>
        </w:rPr>
        <w:t>fuel</w:t>
      </w:r>
      <w:proofErr w:type="spellEnd"/>
      <w:r w:rsidRPr="00400CB8">
        <w:rPr>
          <w:rFonts w:cstheme="minorHAnsi"/>
        </w:rPr>
        <w:t xml:space="preserve"> (GPL/benzina o metano/benzina), convertiti e nuovi. Considerata la loro natura ecologica i veicoli a gas sono dispensati dalla distinzione della classificazione EURO.</w:t>
      </w:r>
    </w:p>
    <w:p w:rsidR="00400CB8" w:rsidRPr="00400CB8" w:rsidRDefault="00400CB8" w:rsidP="00400CB8">
      <w:pPr>
        <w:spacing w:line="250" w:lineRule="exact"/>
        <w:jc w:val="both"/>
        <w:rPr>
          <w:rFonts w:cstheme="minorHAnsi"/>
          <w:b/>
          <w:bCs/>
        </w:rPr>
      </w:pPr>
      <w:r w:rsidRPr="00400CB8">
        <w:rPr>
          <w:rFonts w:cstheme="minorHAnsi"/>
        </w:rPr>
        <w:lastRenderedPageBreak/>
        <w:t xml:space="preserve">In ultimo, il minor impatto inquinante e climalterante dei veicoli a GPL assicura ai consumatori alcuni rilevanti vantaggi rispetto all’uso di combustibili tradizionali, tra i quali </w:t>
      </w:r>
      <w:r w:rsidRPr="00400CB8">
        <w:rPr>
          <w:rFonts w:cstheme="minorHAnsi"/>
          <w:b/>
          <w:bCs/>
        </w:rPr>
        <w:t xml:space="preserve">l’esenzione dai blocchi della circolazione istituiti all’interno delle zone urbane per motivi ambientali. </w:t>
      </w:r>
    </w:p>
    <w:p w:rsidR="00400CB8" w:rsidRDefault="00400CB8" w:rsidP="00AF4B50">
      <w:pPr>
        <w:spacing w:after="0" w:line="250" w:lineRule="exact"/>
        <w:jc w:val="both"/>
        <w:rPr>
          <w:rFonts w:cstheme="minorHAnsi"/>
          <w:b/>
          <w:u w:val="single"/>
        </w:rPr>
      </w:pPr>
    </w:p>
    <w:p w:rsidR="00400CB8" w:rsidRDefault="00400CB8" w:rsidP="00AF4B50">
      <w:pPr>
        <w:spacing w:after="0" w:line="250" w:lineRule="exact"/>
        <w:jc w:val="both"/>
        <w:rPr>
          <w:rFonts w:cstheme="minorHAnsi"/>
          <w:b/>
          <w:u w:val="single"/>
        </w:rPr>
      </w:pPr>
    </w:p>
    <w:p w:rsidR="002726A9" w:rsidRPr="00142037" w:rsidRDefault="007D6089" w:rsidP="00AF4B50">
      <w:pPr>
        <w:spacing w:after="0" w:line="250" w:lineRule="exact"/>
        <w:jc w:val="both"/>
        <w:rPr>
          <w:rFonts w:cstheme="minorHAnsi"/>
          <w:b/>
          <w:u w:val="single"/>
        </w:rPr>
      </w:pPr>
      <w:r w:rsidRPr="007D6089">
        <w:rPr>
          <w:rFonts w:cstheme="minorHAnsi"/>
          <w:b/>
          <w:u w:val="single"/>
        </w:rPr>
        <w:t>VEICOLI OEM:</w:t>
      </w:r>
    </w:p>
    <w:p w:rsidR="00856A14" w:rsidRDefault="00922434" w:rsidP="00AF4B50">
      <w:pPr>
        <w:spacing w:line="250" w:lineRule="exact"/>
        <w:jc w:val="both"/>
        <w:rPr>
          <w:rFonts w:cstheme="minorHAnsi"/>
          <w:b/>
          <w:bCs/>
        </w:rPr>
      </w:pPr>
      <w:r w:rsidRPr="00791779">
        <w:rPr>
          <w:rFonts w:cstheme="minorHAnsi"/>
        </w:rPr>
        <w:t xml:space="preserve">L’analisi del parco auto circolante nazionale mostra come l’Italia sia dotata di una flotta veicolare tra le più vetuste, paragonata a quelle degli altri Stati dell’Unione Europea. In questo contesto bisogna sottolineare come </w:t>
      </w:r>
      <w:r w:rsidRPr="00FB1C8D">
        <w:rPr>
          <w:rFonts w:cstheme="minorHAnsi"/>
          <w:b/>
          <w:bCs/>
        </w:rPr>
        <w:t>il processo di transizione energetica</w:t>
      </w:r>
      <w:r w:rsidRPr="00791779">
        <w:rPr>
          <w:rFonts w:cstheme="minorHAnsi"/>
        </w:rPr>
        <w:t xml:space="preserve"> </w:t>
      </w:r>
      <w:r w:rsidRPr="00FB1C8D">
        <w:rPr>
          <w:rFonts w:cstheme="minorHAnsi"/>
          <w:b/>
          <w:bCs/>
        </w:rPr>
        <w:t>ed il raggiungimento degli obiettivi di riduzione delle emis</w:t>
      </w:r>
      <w:r w:rsidR="0028068C" w:rsidRPr="00FB1C8D">
        <w:rPr>
          <w:rFonts w:cstheme="minorHAnsi"/>
          <w:b/>
          <w:bCs/>
        </w:rPr>
        <w:t>sioni nel settore dei trasporti</w:t>
      </w:r>
      <w:r w:rsidRPr="00FB1C8D">
        <w:rPr>
          <w:rFonts w:cstheme="minorHAnsi"/>
          <w:b/>
          <w:bCs/>
        </w:rPr>
        <w:t xml:space="preserve"> non possano prescindere dal rinnovo del parco auto</w:t>
      </w:r>
      <w:r w:rsidRPr="00791779">
        <w:rPr>
          <w:rFonts w:cstheme="minorHAnsi"/>
        </w:rPr>
        <w:t>. A tale proposito occorrerebbe prevedere delle misure che favoriscano</w:t>
      </w:r>
      <w:r w:rsidR="002870E5">
        <w:rPr>
          <w:rFonts w:cstheme="minorHAnsi"/>
        </w:rPr>
        <w:t xml:space="preserve"> il</w:t>
      </w:r>
      <w:r w:rsidR="00E502BE">
        <w:rPr>
          <w:rFonts w:cstheme="minorHAnsi"/>
        </w:rPr>
        <w:t xml:space="preserve"> </w:t>
      </w:r>
      <w:r w:rsidRPr="00791779">
        <w:rPr>
          <w:rFonts w:cstheme="minorHAnsi"/>
        </w:rPr>
        <w:t xml:space="preserve">rinnovo del parco auto e che si posizionino a sostegno di un settore (quello dell’auto) </w:t>
      </w:r>
      <w:r w:rsidR="003239BC" w:rsidRPr="00791779">
        <w:rPr>
          <w:rFonts w:cstheme="minorHAnsi"/>
        </w:rPr>
        <w:t xml:space="preserve">soprattutto in un momento particolare – come quello che stiamo vivendo connesso all’emergenza sanitaria Coronavirus – </w:t>
      </w:r>
      <w:r w:rsidRPr="00791779">
        <w:rPr>
          <w:rFonts w:cstheme="minorHAnsi"/>
        </w:rPr>
        <w:t>che</w:t>
      </w:r>
      <w:r w:rsidR="003239BC" w:rsidRPr="00791779">
        <w:rPr>
          <w:rFonts w:cstheme="minorHAnsi"/>
        </w:rPr>
        <w:t xml:space="preserve"> purtroppo sta incidendo in modo fortemente negativo: </w:t>
      </w:r>
      <w:r w:rsidRPr="00791779">
        <w:rPr>
          <w:rFonts w:cstheme="minorHAnsi"/>
        </w:rPr>
        <w:t xml:space="preserve"> </w:t>
      </w:r>
      <w:r w:rsidR="004415B0">
        <w:rPr>
          <w:rFonts w:cstheme="minorHAnsi"/>
        </w:rPr>
        <w:t xml:space="preserve">se </w:t>
      </w:r>
      <w:r w:rsidRPr="00FB1C8D">
        <w:rPr>
          <w:rFonts w:cstheme="minorHAnsi"/>
          <w:b/>
          <w:bCs/>
        </w:rPr>
        <w:t xml:space="preserve">nel mese di </w:t>
      </w:r>
      <w:r w:rsidR="00700553">
        <w:rPr>
          <w:rFonts w:cstheme="minorHAnsi"/>
          <w:b/>
          <w:bCs/>
        </w:rPr>
        <w:t>aprile</w:t>
      </w:r>
      <w:r w:rsidR="00700553" w:rsidRPr="00FB1C8D">
        <w:rPr>
          <w:rFonts w:cstheme="minorHAnsi"/>
          <w:b/>
          <w:bCs/>
        </w:rPr>
        <w:t xml:space="preserve"> </w:t>
      </w:r>
      <w:r w:rsidR="003239BC" w:rsidRPr="00FB1C8D">
        <w:rPr>
          <w:rFonts w:cstheme="minorHAnsi"/>
          <w:b/>
          <w:bCs/>
        </w:rPr>
        <w:t>il mercato delle immatricolazioni delle auto</w:t>
      </w:r>
      <w:r w:rsidRPr="00FB1C8D">
        <w:rPr>
          <w:rFonts w:cstheme="minorHAnsi"/>
          <w:b/>
          <w:bCs/>
        </w:rPr>
        <w:t xml:space="preserve"> registra</w:t>
      </w:r>
      <w:r w:rsidR="004415B0">
        <w:rPr>
          <w:rFonts w:cstheme="minorHAnsi"/>
          <w:b/>
          <w:bCs/>
        </w:rPr>
        <w:t>va</w:t>
      </w:r>
      <w:r w:rsidRPr="00FB1C8D">
        <w:rPr>
          <w:rFonts w:cstheme="minorHAnsi"/>
          <w:b/>
          <w:bCs/>
        </w:rPr>
        <w:t xml:space="preserve"> delle perdite di oltre </w:t>
      </w:r>
      <w:r w:rsidR="004415B0">
        <w:rPr>
          <w:rFonts w:cstheme="minorHAnsi"/>
          <w:b/>
          <w:bCs/>
        </w:rPr>
        <w:t>i</w:t>
      </w:r>
      <w:r w:rsidR="00700553" w:rsidRPr="00FB1C8D">
        <w:rPr>
          <w:rFonts w:cstheme="minorHAnsi"/>
          <w:b/>
          <w:bCs/>
        </w:rPr>
        <w:t>l</w:t>
      </w:r>
      <w:r w:rsidR="004415B0">
        <w:rPr>
          <w:rFonts w:cstheme="minorHAnsi"/>
          <w:b/>
          <w:bCs/>
        </w:rPr>
        <w:t xml:space="preserve"> </w:t>
      </w:r>
      <w:r w:rsidR="00700553">
        <w:rPr>
          <w:rFonts w:cstheme="minorHAnsi"/>
          <w:b/>
          <w:bCs/>
        </w:rPr>
        <w:t>97</w:t>
      </w:r>
      <w:r w:rsidRPr="00FB1C8D">
        <w:rPr>
          <w:rFonts w:cstheme="minorHAnsi"/>
          <w:b/>
          <w:bCs/>
        </w:rPr>
        <w:t>%</w:t>
      </w:r>
      <w:r w:rsidR="004415B0">
        <w:rPr>
          <w:rFonts w:cstheme="minorHAnsi"/>
          <w:b/>
          <w:bCs/>
        </w:rPr>
        <w:t xml:space="preserve">, </w:t>
      </w:r>
      <w:r w:rsidR="004415B0" w:rsidRPr="00791779">
        <w:rPr>
          <w:rFonts w:cstheme="minorHAnsi"/>
        </w:rPr>
        <w:t>stando alle ultime rilevazioni statistiche</w:t>
      </w:r>
      <w:r w:rsidR="004415B0">
        <w:rPr>
          <w:rFonts w:cstheme="minorHAnsi"/>
        </w:rPr>
        <w:t xml:space="preserve"> nei primi nove mesi dell’anno si registra un trend negativo in leggero miglioramento, con una contrazione cumulata del mercato pari a circa il 34%</w:t>
      </w:r>
      <w:r w:rsidRPr="00FB1C8D">
        <w:rPr>
          <w:rFonts w:cstheme="minorHAnsi"/>
          <w:b/>
          <w:bCs/>
        </w:rPr>
        <w:t>.</w:t>
      </w:r>
    </w:p>
    <w:p w:rsidR="00EB554C" w:rsidRPr="00D042D6" w:rsidRDefault="004415B0" w:rsidP="00AF4B50">
      <w:pPr>
        <w:spacing w:line="250" w:lineRule="exact"/>
        <w:jc w:val="both"/>
        <w:rPr>
          <w:rFonts w:cstheme="minorHAnsi"/>
        </w:rPr>
      </w:pPr>
      <w:r w:rsidRPr="00D042D6">
        <w:rPr>
          <w:rFonts w:cstheme="minorHAnsi"/>
        </w:rPr>
        <w:t>Tra i fattori di questa inversione di tendenza troviamo sicuramente gli incentivi previsti nel Decreto Rilancio per l’acquisto di veicoli a basse emissioni: non a caso, infatti, le immatricolazioni alternative nel periodo gennaio-settembre registrano un +8,9%, con le immatricolazioni a GPL che si conferma</w:t>
      </w:r>
      <w:r w:rsidR="00E104D4" w:rsidRPr="00D042D6">
        <w:rPr>
          <w:rFonts w:cstheme="minorHAnsi"/>
        </w:rPr>
        <w:t>no ad un +8</w:t>
      </w:r>
      <w:r w:rsidRPr="00D042D6">
        <w:rPr>
          <w:rFonts w:cstheme="minorHAnsi"/>
        </w:rPr>
        <w:t xml:space="preserve">% circa. </w:t>
      </w:r>
      <w:r w:rsidR="00922434" w:rsidRPr="00D042D6">
        <w:rPr>
          <w:rFonts w:cstheme="minorHAnsi"/>
        </w:rPr>
        <w:t xml:space="preserve"> </w:t>
      </w:r>
      <w:r w:rsidR="003239BC" w:rsidRPr="00D042D6">
        <w:rPr>
          <w:rFonts w:cstheme="minorHAnsi"/>
        </w:rPr>
        <w:t xml:space="preserve">A tal riguardo, </w:t>
      </w:r>
      <w:r w:rsidRPr="00D042D6">
        <w:rPr>
          <w:rFonts w:cstheme="minorHAnsi"/>
        </w:rPr>
        <w:t>e</w:t>
      </w:r>
      <w:r w:rsidR="00E104D4" w:rsidRPr="00D042D6">
        <w:rPr>
          <w:rFonts w:cstheme="minorHAnsi"/>
        </w:rPr>
        <w:t>d in considerazione</w:t>
      </w:r>
      <w:r w:rsidRPr="00D042D6">
        <w:rPr>
          <w:rFonts w:cstheme="minorHAnsi"/>
        </w:rPr>
        <w:t xml:space="preserve"> </w:t>
      </w:r>
      <w:r w:rsidR="00E104D4" w:rsidRPr="00D042D6">
        <w:rPr>
          <w:rFonts w:cstheme="minorHAnsi"/>
        </w:rPr>
        <w:t>del</w:t>
      </w:r>
      <w:r w:rsidRPr="00D042D6">
        <w:rPr>
          <w:rFonts w:cstheme="minorHAnsi"/>
        </w:rPr>
        <w:t xml:space="preserve">le positive ricadute nel settore economico oltre che </w:t>
      </w:r>
      <w:r w:rsidR="00E104D4" w:rsidRPr="00D042D6">
        <w:rPr>
          <w:rFonts w:cstheme="minorHAnsi"/>
        </w:rPr>
        <w:t>a</w:t>
      </w:r>
      <w:r w:rsidRPr="00D042D6">
        <w:rPr>
          <w:rFonts w:cstheme="minorHAnsi"/>
        </w:rPr>
        <w:t>i benefici in termini di impatto ambientale, ci sembra opportuno che le</w:t>
      </w:r>
      <w:r w:rsidR="003239BC" w:rsidRPr="00D042D6">
        <w:rPr>
          <w:rFonts w:cstheme="minorHAnsi"/>
        </w:rPr>
        <w:t xml:space="preserve"> misur</w:t>
      </w:r>
      <w:r w:rsidRPr="00D042D6">
        <w:rPr>
          <w:rFonts w:cstheme="minorHAnsi"/>
        </w:rPr>
        <w:t>e</w:t>
      </w:r>
      <w:r w:rsidR="003239BC" w:rsidRPr="00D042D6">
        <w:rPr>
          <w:rFonts w:cstheme="minorHAnsi"/>
        </w:rPr>
        <w:t xml:space="preserve"> di </w:t>
      </w:r>
      <w:r w:rsidR="00922434" w:rsidRPr="00D042D6">
        <w:rPr>
          <w:rFonts w:cstheme="minorHAnsi"/>
        </w:rPr>
        <w:t xml:space="preserve">incentivazione </w:t>
      </w:r>
      <w:r w:rsidR="003239BC" w:rsidRPr="00D042D6">
        <w:rPr>
          <w:rFonts w:cstheme="minorHAnsi"/>
        </w:rPr>
        <w:t>a</w:t>
      </w:r>
      <w:r w:rsidR="00922434" w:rsidRPr="00D042D6">
        <w:rPr>
          <w:rFonts w:cstheme="minorHAnsi"/>
        </w:rPr>
        <w:t>ll’acquisto di nuovi</w:t>
      </w:r>
      <w:r w:rsidR="0028068C" w:rsidRPr="00D042D6">
        <w:rPr>
          <w:rFonts w:cstheme="minorHAnsi"/>
        </w:rPr>
        <w:t xml:space="preserve"> </w:t>
      </w:r>
      <w:r w:rsidR="00922434" w:rsidRPr="00D042D6">
        <w:rPr>
          <w:rFonts w:cstheme="minorHAnsi"/>
        </w:rPr>
        <w:t>veicoli</w:t>
      </w:r>
      <w:r w:rsidR="00E104D4" w:rsidRPr="00D042D6">
        <w:rPr>
          <w:rFonts w:cstheme="minorHAnsi"/>
        </w:rPr>
        <w:t xml:space="preserve"> vengano confermate, prevedendo, inoltre,</w:t>
      </w:r>
      <w:r w:rsidR="00922434" w:rsidRPr="00D042D6">
        <w:rPr>
          <w:rFonts w:cstheme="minorHAnsi"/>
        </w:rPr>
        <w:t xml:space="preserve"> delle premialità aggiuntive qualora l'auto acquistata sia alimentata con carburanti alternativi: tra questi andrebbe in primo luogo </w:t>
      </w:r>
      <w:r w:rsidR="003239BC" w:rsidRPr="00D042D6">
        <w:rPr>
          <w:rFonts w:cstheme="minorHAnsi"/>
        </w:rPr>
        <w:t xml:space="preserve">maggiormente </w:t>
      </w:r>
      <w:r w:rsidR="00922434" w:rsidRPr="00D042D6">
        <w:rPr>
          <w:rFonts w:cstheme="minorHAnsi"/>
        </w:rPr>
        <w:t>incentivat</w:t>
      </w:r>
      <w:r w:rsidR="003239BC" w:rsidRPr="00D042D6">
        <w:rPr>
          <w:rFonts w:cstheme="minorHAnsi"/>
        </w:rPr>
        <w:t>o l’acquisto di veicoli alimentati con carburanti gassosi (GPL e metano)</w:t>
      </w:r>
      <w:r w:rsidR="00922434" w:rsidRPr="00D042D6">
        <w:rPr>
          <w:rFonts w:cstheme="minorHAnsi"/>
        </w:rPr>
        <w:t>.</w:t>
      </w:r>
    </w:p>
    <w:p w:rsidR="00693406" w:rsidRPr="00400CB8" w:rsidRDefault="006B1C33" w:rsidP="00AF4B50">
      <w:pPr>
        <w:spacing w:line="250" w:lineRule="exact"/>
        <w:jc w:val="both"/>
        <w:rPr>
          <w:rFonts w:cstheme="minorHAnsi"/>
        </w:rPr>
      </w:pPr>
      <w:r w:rsidRPr="00400CB8">
        <w:rPr>
          <w:rFonts w:cstheme="minorHAnsi"/>
          <w:bCs/>
        </w:rPr>
        <w:t xml:space="preserve">Storicamente il GPL veniva scelto dagli automobilisti </w:t>
      </w:r>
      <w:r w:rsidR="008B281F" w:rsidRPr="00400CB8">
        <w:rPr>
          <w:rFonts w:cstheme="minorHAnsi"/>
          <w:bCs/>
        </w:rPr>
        <w:t xml:space="preserve">per motivi legati </w:t>
      </w:r>
      <w:r w:rsidRPr="00400CB8">
        <w:rPr>
          <w:rFonts w:cstheme="minorHAnsi"/>
          <w:bCs/>
        </w:rPr>
        <w:t xml:space="preserve">unicamente </w:t>
      </w:r>
      <w:r w:rsidR="008B281F" w:rsidRPr="00400CB8">
        <w:rPr>
          <w:rFonts w:cstheme="minorHAnsi"/>
          <w:bCs/>
        </w:rPr>
        <w:t>agli aspetti di natura economica</w:t>
      </w:r>
      <w:r w:rsidR="008B281F" w:rsidRPr="00012341">
        <w:rPr>
          <w:rFonts w:cstheme="minorHAnsi"/>
        </w:rPr>
        <w:t xml:space="preserve">, potendo garantire un effettivo risparmio </w:t>
      </w:r>
      <w:r w:rsidRPr="00012341">
        <w:rPr>
          <w:rFonts w:cstheme="minorHAnsi"/>
        </w:rPr>
        <w:t>nell’utilizzo quotidiano</w:t>
      </w:r>
      <w:r w:rsidR="008B281F" w:rsidRPr="00012341">
        <w:rPr>
          <w:rFonts w:cstheme="minorHAnsi"/>
        </w:rPr>
        <w:t xml:space="preserve">. </w:t>
      </w:r>
      <w:r w:rsidR="008B281F" w:rsidRPr="00400CB8">
        <w:rPr>
          <w:rFonts w:cstheme="minorHAnsi"/>
          <w:bCs/>
        </w:rPr>
        <w:t>Progressivamente,</w:t>
      </w:r>
      <w:r w:rsidR="008B281F" w:rsidRPr="00012341">
        <w:rPr>
          <w:rFonts w:cstheme="minorHAnsi"/>
        </w:rPr>
        <w:t xml:space="preserve"> complice una crescente sensibilità dei consumator</w:t>
      </w:r>
      <w:r w:rsidR="00404CA6" w:rsidRPr="00012341">
        <w:rPr>
          <w:rFonts w:cstheme="minorHAnsi"/>
        </w:rPr>
        <w:t xml:space="preserve">i sulle tematiche ambientali, i benefici legati </w:t>
      </w:r>
      <w:r w:rsidR="00404CA6" w:rsidRPr="00400CB8">
        <w:rPr>
          <w:rFonts w:cstheme="minorHAnsi"/>
          <w:bCs/>
        </w:rPr>
        <w:t>alle</w:t>
      </w:r>
      <w:r w:rsidR="008B281F" w:rsidRPr="00400CB8">
        <w:rPr>
          <w:rFonts w:cstheme="minorHAnsi"/>
          <w:bCs/>
        </w:rPr>
        <w:t xml:space="preserve"> caratteristiche ecologiche del GPL ha</w:t>
      </w:r>
      <w:r w:rsidR="00404CA6" w:rsidRPr="00400CB8">
        <w:rPr>
          <w:rFonts w:cstheme="minorHAnsi"/>
          <w:bCs/>
        </w:rPr>
        <w:t>nno</w:t>
      </w:r>
      <w:r w:rsidR="008B281F" w:rsidRPr="00400CB8">
        <w:rPr>
          <w:rFonts w:cstheme="minorHAnsi"/>
          <w:bCs/>
        </w:rPr>
        <w:t xml:space="preserve"> affiancato quelle economiche</w:t>
      </w:r>
      <w:r w:rsidR="00805720" w:rsidRPr="00012341">
        <w:rPr>
          <w:rFonts w:cstheme="minorHAnsi"/>
        </w:rPr>
        <w:t xml:space="preserve"> sia</w:t>
      </w:r>
      <w:r w:rsidR="008B281F" w:rsidRPr="00012341">
        <w:rPr>
          <w:rFonts w:cstheme="minorHAnsi"/>
        </w:rPr>
        <w:t xml:space="preserve"> nella percezione </w:t>
      </w:r>
      <w:r w:rsidR="00805720" w:rsidRPr="00012341">
        <w:rPr>
          <w:rFonts w:cstheme="minorHAnsi"/>
        </w:rPr>
        <w:t>degli utilizzatori che d</w:t>
      </w:r>
      <w:r w:rsidR="00693406" w:rsidRPr="00012341">
        <w:rPr>
          <w:rFonts w:cstheme="minorHAnsi"/>
        </w:rPr>
        <w:t>e</w:t>
      </w:r>
      <w:r w:rsidR="00805720" w:rsidRPr="00012341">
        <w:rPr>
          <w:rFonts w:cstheme="minorHAnsi"/>
        </w:rPr>
        <w:t xml:space="preserve">i costruttori di auto, tanto che </w:t>
      </w:r>
      <w:r w:rsidR="00805720" w:rsidRPr="00400CB8">
        <w:rPr>
          <w:rFonts w:cstheme="minorHAnsi"/>
        </w:rPr>
        <w:t xml:space="preserve">oggi sono immessi nel mercato nazionale ben </w:t>
      </w:r>
      <w:r w:rsidR="00986FC0" w:rsidRPr="00400CB8">
        <w:rPr>
          <w:rFonts w:cstheme="minorHAnsi"/>
        </w:rPr>
        <w:t>37 modelli</w:t>
      </w:r>
      <w:r w:rsidR="002870E5" w:rsidRPr="00400CB8">
        <w:rPr>
          <w:rFonts w:cstheme="minorHAnsi"/>
        </w:rPr>
        <w:t xml:space="preserve"> alimentati a GPL</w:t>
      </w:r>
      <w:r w:rsidR="00805720" w:rsidRPr="00400CB8">
        <w:rPr>
          <w:rFonts w:cstheme="minorHAnsi"/>
        </w:rPr>
        <w:t xml:space="preserve"> in</w:t>
      </w:r>
      <w:r w:rsidR="00986FC0" w:rsidRPr="00400CB8">
        <w:rPr>
          <w:rFonts w:cstheme="minorHAnsi"/>
        </w:rPr>
        <w:t xml:space="preserve"> 154 </w:t>
      </w:r>
      <w:r w:rsidR="00805720" w:rsidRPr="00400CB8">
        <w:rPr>
          <w:rFonts w:cstheme="minorHAnsi"/>
        </w:rPr>
        <w:t xml:space="preserve">differenti </w:t>
      </w:r>
      <w:r w:rsidR="00986FC0" w:rsidRPr="00400CB8">
        <w:rPr>
          <w:rFonts w:cstheme="minorHAnsi"/>
        </w:rPr>
        <w:t>allestimenti</w:t>
      </w:r>
      <w:r w:rsidR="00693406" w:rsidRPr="00400CB8">
        <w:rPr>
          <w:rFonts w:cstheme="minorHAnsi"/>
        </w:rPr>
        <w:t>.</w:t>
      </w:r>
    </w:p>
    <w:p w:rsidR="00A115EB" w:rsidRPr="00400CB8" w:rsidRDefault="00693406" w:rsidP="00AF4B50">
      <w:pPr>
        <w:spacing w:line="250" w:lineRule="exact"/>
        <w:jc w:val="both"/>
        <w:rPr>
          <w:rFonts w:cstheme="minorHAnsi"/>
          <w:u w:val="single"/>
        </w:rPr>
      </w:pPr>
      <w:r w:rsidRPr="00791779">
        <w:rPr>
          <w:rFonts w:cstheme="minorHAnsi"/>
        </w:rPr>
        <w:t>L’assoluta valenza ambientale del GPL trova conferma nel</w:t>
      </w:r>
      <w:r w:rsidR="00A115EB" w:rsidRPr="00791779">
        <w:rPr>
          <w:rFonts w:cstheme="minorHAnsi"/>
        </w:rPr>
        <w:t xml:space="preserve"> recente</w:t>
      </w:r>
      <w:r w:rsidR="002726A9" w:rsidRPr="00791779">
        <w:rPr>
          <w:rFonts w:cstheme="minorHAnsi"/>
        </w:rPr>
        <w:t xml:space="preserve"> aggiornamento della banca dati di ISPRA</w:t>
      </w:r>
      <w:r w:rsidR="00F11D62" w:rsidRPr="00791779">
        <w:rPr>
          <w:rFonts w:cstheme="minorHAnsi"/>
        </w:rPr>
        <w:t xml:space="preserve"> </w:t>
      </w:r>
      <w:r w:rsidR="002726A9" w:rsidRPr="00791779">
        <w:rPr>
          <w:rFonts w:cstheme="minorHAnsi"/>
        </w:rPr>
        <w:t xml:space="preserve">sui fattori emissivi legati al trasporto stradale, </w:t>
      </w:r>
      <w:r w:rsidRPr="00791779">
        <w:rPr>
          <w:rFonts w:cstheme="minorHAnsi"/>
        </w:rPr>
        <w:t xml:space="preserve">che </w:t>
      </w:r>
      <w:r w:rsidR="002726A9" w:rsidRPr="00791779">
        <w:rPr>
          <w:rFonts w:cstheme="minorHAnsi"/>
        </w:rPr>
        <w:t xml:space="preserve">mostra </w:t>
      </w:r>
      <w:r w:rsidR="00892C2E" w:rsidRPr="00FB1C8D">
        <w:rPr>
          <w:rFonts w:cstheme="minorHAnsi"/>
        </w:rPr>
        <w:t>u</w:t>
      </w:r>
      <w:r w:rsidR="000F628C" w:rsidRPr="00FB1C8D">
        <w:rPr>
          <w:rFonts w:cstheme="minorHAnsi"/>
        </w:rPr>
        <w:t>n confronto tra veicoli EURO 6</w:t>
      </w:r>
      <w:r w:rsidR="001747AB" w:rsidRPr="00FB1C8D">
        <w:rPr>
          <w:rFonts w:cstheme="minorHAnsi"/>
        </w:rPr>
        <w:t xml:space="preserve">, con una riduzione di emissioni di </w:t>
      </w:r>
      <w:r w:rsidR="001747AB" w:rsidRPr="00400CB8">
        <w:rPr>
          <w:rFonts w:cstheme="minorHAnsi"/>
          <w:bCs/>
        </w:rPr>
        <w:t>ossidi di azoto</w:t>
      </w:r>
      <w:r w:rsidR="00B3403E" w:rsidRPr="00400CB8">
        <w:rPr>
          <w:rFonts w:cstheme="minorHAnsi"/>
          <w:bCs/>
        </w:rPr>
        <w:t xml:space="preserve"> (NOx</w:t>
      </w:r>
      <w:r w:rsidR="00E104D4" w:rsidRPr="00400CB8">
        <w:rPr>
          <w:rFonts w:cstheme="minorHAnsi"/>
          <w:bCs/>
        </w:rPr>
        <w:t>, principale precursore della formazione del particolato atmosferico</w:t>
      </w:r>
      <w:r w:rsidR="00B3403E" w:rsidRPr="00400CB8">
        <w:rPr>
          <w:rFonts w:cstheme="minorHAnsi"/>
          <w:bCs/>
        </w:rPr>
        <w:t>)</w:t>
      </w:r>
      <w:r w:rsidR="001747AB" w:rsidRPr="00400CB8">
        <w:rPr>
          <w:rFonts w:cstheme="minorHAnsi"/>
          <w:bCs/>
        </w:rPr>
        <w:t xml:space="preserve"> del 9</w:t>
      </w:r>
      <w:r w:rsidR="00E104D4" w:rsidRPr="00400CB8">
        <w:rPr>
          <w:rFonts w:cstheme="minorHAnsi"/>
          <w:bCs/>
        </w:rPr>
        <w:t>5</w:t>
      </w:r>
      <w:r w:rsidR="001747AB" w:rsidRPr="00400CB8">
        <w:rPr>
          <w:rFonts w:cstheme="minorHAnsi"/>
          <w:bCs/>
        </w:rPr>
        <w:t>,</w:t>
      </w:r>
      <w:r w:rsidR="00E104D4" w:rsidRPr="00400CB8">
        <w:rPr>
          <w:rFonts w:cstheme="minorHAnsi"/>
          <w:bCs/>
        </w:rPr>
        <w:t>2</w:t>
      </w:r>
      <w:r w:rsidR="001747AB" w:rsidRPr="00400CB8">
        <w:rPr>
          <w:rFonts w:cstheme="minorHAnsi"/>
          <w:bCs/>
        </w:rPr>
        <w:t>%</w:t>
      </w:r>
      <w:r w:rsidR="001747AB" w:rsidRPr="00012341">
        <w:rPr>
          <w:rFonts w:cstheme="minorHAnsi"/>
        </w:rPr>
        <w:t xml:space="preserve"> (modelli medium) rispetto</w:t>
      </w:r>
      <w:r w:rsidR="001747AB" w:rsidRPr="00FB1C8D">
        <w:rPr>
          <w:rFonts w:cstheme="minorHAnsi"/>
        </w:rPr>
        <w:t xml:space="preserve"> alle auto a diesel e del </w:t>
      </w:r>
      <w:r w:rsidR="00E104D4">
        <w:rPr>
          <w:rFonts w:cstheme="minorHAnsi"/>
          <w:b/>
          <w:bCs/>
        </w:rPr>
        <w:t>62</w:t>
      </w:r>
      <w:r w:rsidR="001747AB" w:rsidRPr="00FB1C8D">
        <w:rPr>
          <w:rFonts w:cstheme="minorHAnsi"/>
          <w:b/>
          <w:bCs/>
        </w:rPr>
        <w:t>,</w:t>
      </w:r>
      <w:r w:rsidR="00E104D4">
        <w:rPr>
          <w:rFonts w:cstheme="minorHAnsi"/>
          <w:b/>
          <w:bCs/>
        </w:rPr>
        <w:t>4</w:t>
      </w:r>
      <w:r w:rsidR="001747AB" w:rsidRPr="00FB1C8D">
        <w:rPr>
          <w:rFonts w:cstheme="minorHAnsi"/>
          <w:b/>
          <w:bCs/>
        </w:rPr>
        <w:t>%</w:t>
      </w:r>
      <w:r w:rsidR="001747AB" w:rsidRPr="00FB1C8D">
        <w:rPr>
          <w:rFonts w:cstheme="minorHAnsi"/>
        </w:rPr>
        <w:t xml:space="preserve"> rispetto ai modelli benzina. </w:t>
      </w:r>
      <w:r w:rsidR="00A115EB" w:rsidRPr="00FB1C8D">
        <w:rPr>
          <w:rFonts w:cstheme="minorHAnsi"/>
          <w:bCs/>
        </w:rPr>
        <w:t>Per quanto riguarda</w:t>
      </w:r>
      <w:r w:rsidR="00A115EB" w:rsidRPr="00791779">
        <w:rPr>
          <w:rFonts w:cstheme="minorHAnsi"/>
          <w:b/>
        </w:rPr>
        <w:t xml:space="preserve"> </w:t>
      </w:r>
      <w:r w:rsidR="00A115EB" w:rsidRPr="00400CB8">
        <w:rPr>
          <w:rFonts w:cstheme="minorHAnsi"/>
        </w:rPr>
        <w:t>le emissioni di CO</w:t>
      </w:r>
      <w:r w:rsidR="00A115EB" w:rsidRPr="00400CB8">
        <w:rPr>
          <w:rFonts w:cstheme="minorHAnsi"/>
          <w:vertAlign w:val="subscript"/>
        </w:rPr>
        <w:t>2</w:t>
      </w:r>
      <w:r w:rsidR="00A115EB" w:rsidRPr="00400CB8">
        <w:rPr>
          <w:rFonts w:cstheme="minorHAnsi"/>
        </w:rPr>
        <w:t xml:space="preserve"> il raffronto mostra </w:t>
      </w:r>
      <w:r w:rsidR="00A115EB" w:rsidRPr="00400CB8">
        <w:rPr>
          <w:rFonts w:cstheme="minorHAnsi"/>
          <w:u w:val="single"/>
        </w:rPr>
        <w:t xml:space="preserve">riduzioni di </w:t>
      </w:r>
      <w:r w:rsidR="00E104D4" w:rsidRPr="00400CB8">
        <w:rPr>
          <w:rFonts w:cstheme="minorHAnsi"/>
          <w:u w:val="single"/>
        </w:rPr>
        <w:t xml:space="preserve">oltre </w:t>
      </w:r>
      <w:r w:rsidR="00A115EB" w:rsidRPr="00400CB8">
        <w:rPr>
          <w:rFonts w:cstheme="minorHAnsi"/>
          <w:u w:val="single"/>
        </w:rPr>
        <w:t xml:space="preserve">il </w:t>
      </w:r>
      <w:r w:rsidR="00E104D4" w:rsidRPr="00400CB8">
        <w:rPr>
          <w:rFonts w:cstheme="minorHAnsi"/>
          <w:u w:val="single"/>
        </w:rPr>
        <w:t>23</w:t>
      </w:r>
      <w:r w:rsidR="00A115EB" w:rsidRPr="00400CB8">
        <w:rPr>
          <w:rFonts w:cstheme="minorHAnsi"/>
          <w:u w:val="single"/>
        </w:rPr>
        <w:t>%</w:t>
      </w:r>
      <w:r w:rsidR="00E104D4" w:rsidRPr="00400CB8">
        <w:rPr>
          <w:rFonts w:cstheme="minorHAnsi"/>
          <w:u w:val="single"/>
        </w:rPr>
        <w:t xml:space="preserve"> con la benzina e di oltre il 3% nei confronti del diesel.</w:t>
      </w:r>
    </w:p>
    <w:p w:rsidR="00FB1C8D" w:rsidRDefault="00FB1C8D" w:rsidP="00AF4B50">
      <w:pPr>
        <w:spacing w:after="0" w:line="250" w:lineRule="exact"/>
        <w:jc w:val="both"/>
        <w:rPr>
          <w:rFonts w:cstheme="minorHAnsi"/>
          <w:b/>
          <w:u w:val="single"/>
        </w:rPr>
      </w:pPr>
    </w:p>
    <w:p w:rsidR="00313B00" w:rsidRPr="00142037" w:rsidRDefault="007D6089" w:rsidP="00AF4B50">
      <w:pPr>
        <w:spacing w:after="0" w:line="250" w:lineRule="exact"/>
        <w:jc w:val="both"/>
        <w:rPr>
          <w:rFonts w:cstheme="minorHAnsi"/>
          <w:b/>
          <w:u w:val="single"/>
        </w:rPr>
      </w:pPr>
      <w:r w:rsidRPr="00142037">
        <w:rPr>
          <w:rFonts w:cstheme="minorHAnsi"/>
          <w:b/>
          <w:u w:val="single"/>
        </w:rPr>
        <w:t>RETROFIT VEICOLI:</w:t>
      </w:r>
    </w:p>
    <w:p w:rsidR="00856A14" w:rsidRPr="00D042D6" w:rsidRDefault="00856A14" w:rsidP="00AF4B50">
      <w:pPr>
        <w:spacing w:line="250" w:lineRule="exact"/>
        <w:jc w:val="both"/>
        <w:rPr>
          <w:rFonts w:cstheme="minorHAnsi"/>
        </w:rPr>
      </w:pPr>
      <w:r w:rsidRPr="00D042D6">
        <w:rPr>
          <w:rFonts w:cstheme="minorHAnsi"/>
        </w:rPr>
        <w:t xml:space="preserve">Accanto agli incentivi all’acquisto del nuovo, </w:t>
      </w:r>
      <w:proofErr w:type="spellStart"/>
      <w:r w:rsidRPr="00D042D6">
        <w:rPr>
          <w:rFonts w:cstheme="minorHAnsi"/>
        </w:rPr>
        <w:t>Assogasliquidi</w:t>
      </w:r>
      <w:proofErr w:type="spellEnd"/>
      <w:r w:rsidRPr="00D042D6">
        <w:rPr>
          <w:rFonts w:cstheme="minorHAnsi"/>
        </w:rPr>
        <w:t xml:space="preserve"> ritiene strategico e fondamentale – in un’ottica di riqualificazione in senso ambientale del parco auto </w:t>
      </w:r>
      <w:r w:rsidR="00012341" w:rsidRPr="00D042D6">
        <w:rPr>
          <w:rFonts w:cstheme="minorHAnsi"/>
        </w:rPr>
        <w:t xml:space="preserve">circolante che non riuscirà tutto ad essere “svecchiato” tramite gli incentivi all’acquisto del nuovo anche in relazione alle disponibilità economiche delle famiglie – un intervento volto a </w:t>
      </w:r>
      <w:r w:rsidR="00571D97" w:rsidRPr="00D042D6">
        <w:rPr>
          <w:rFonts w:cstheme="minorHAnsi"/>
        </w:rPr>
        <w:t>sostenere economicamente chi decide di convertire a gas (GPL o gas naturale) un veicolo di categoria euro 4 e euro 5 alimentato con carburanti tradizionali.</w:t>
      </w:r>
    </w:p>
    <w:p w:rsidR="00571D97" w:rsidRPr="00D042D6" w:rsidRDefault="00571D97" w:rsidP="00AF4B50">
      <w:pPr>
        <w:spacing w:line="250" w:lineRule="exact"/>
        <w:jc w:val="both"/>
        <w:rPr>
          <w:rFonts w:cstheme="minorHAnsi"/>
        </w:rPr>
      </w:pPr>
      <w:r w:rsidRPr="00D042D6">
        <w:rPr>
          <w:rFonts w:cstheme="minorHAnsi"/>
        </w:rPr>
        <w:t>Riteniamo che la misura debba entrate nella discussione delle misure a favore del settore automotive inteso in senso ampio già dalla discussione che si svolgerà in Parlamento per la imminente legge di bilancio e, successivamente, in un’ottica prospettica e strutturale,  dalle misure che consentiranno di utilizzare le risorse del Recovery fund.</w:t>
      </w:r>
    </w:p>
    <w:p w:rsidR="00BB6C93" w:rsidRPr="00F91B83" w:rsidRDefault="00FB1C8D" w:rsidP="00AF4B50">
      <w:pPr>
        <w:spacing w:line="250" w:lineRule="exact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Per </w:t>
      </w:r>
      <w:r w:rsidR="002D6057" w:rsidRPr="00791779">
        <w:rPr>
          <w:rFonts w:cstheme="minorHAnsi"/>
        </w:rPr>
        <w:t>provare a quantificare</w:t>
      </w:r>
      <w:r>
        <w:rPr>
          <w:rFonts w:cstheme="minorHAnsi"/>
        </w:rPr>
        <w:t xml:space="preserve"> </w:t>
      </w:r>
      <w:r w:rsidR="002D6057" w:rsidRPr="00791779">
        <w:rPr>
          <w:rFonts w:cstheme="minorHAnsi"/>
        </w:rPr>
        <w:t>i benefici derivanti dalla possibilità di operare un efficientamento ambientale del parco auto esistente, è stato elaborato uno scenario di riferimento</w:t>
      </w:r>
      <w:r w:rsidR="00BB6C93" w:rsidRPr="00791779">
        <w:rPr>
          <w:rFonts w:cstheme="minorHAnsi"/>
        </w:rPr>
        <w:t>, costruito sull’ipotesi di introduzione di misure incentivanti per la conversione a gas di veicoli a benzina esistenti.</w:t>
      </w:r>
      <w:r w:rsidR="003239BC" w:rsidRPr="00791779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3239BC" w:rsidRPr="00791779">
        <w:rPr>
          <w:rFonts w:cstheme="minorHAnsi"/>
        </w:rPr>
        <w:t xml:space="preserve">n un momento di forte recessione economica anche per le famiglie potrebbe rappresentare una soluzione efficace economicamente </w:t>
      </w:r>
      <w:r w:rsidR="003239BC" w:rsidRPr="00F91B83">
        <w:rPr>
          <w:rFonts w:cstheme="minorHAnsi"/>
        </w:rPr>
        <w:t xml:space="preserve">sia come </w:t>
      </w:r>
      <w:r w:rsidR="003239BC" w:rsidRPr="00F91B83">
        <w:rPr>
          <w:rFonts w:cstheme="minorHAnsi"/>
          <w:b/>
          <w:bCs/>
        </w:rPr>
        <w:t>volano industriale</w:t>
      </w:r>
      <w:r w:rsidR="003239BC" w:rsidRPr="00F91B83">
        <w:rPr>
          <w:rFonts w:cstheme="minorHAnsi"/>
        </w:rPr>
        <w:t xml:space="preserve"> per far ripartire le </w:t>
      </w:r>
      <w:r w:rsidR="003239BC" w:rsidRPr="00F91B83">
        <w:rPr>
          <w:rFonts w:cstheme="minorHAnsi"/>
          <w:b/>
          <w:bCs/>
        </w:rPr>
        <w:t>attività economiche connesse all’indotto dell’auto</w:t>
      </w:r>
      <w:r w:rsidR="003239BC" w:rsidRPr="00F91B83">
        <w:rPr>
          <w:rFonts w:cstheme="minorHAnsi"/>
        </w:rPr>
        <w:t xml:space="preserve"> (costruttori di Kit e officine di installazione) sia per i consumatori finali</w:t>
      </w:r>
      <w:r w:rsidRPr="00F91B83">
        <w:rPr>
          <w:rFonts w:cstheme="minorHAnsi"/>
        </w:rPr>
        <w:t>.</w:t>
      </w:r>
    </w:p>
    <w:p w:rsidR="00BB6C93" w:rsidRPr="00F91B83" w:rsidRDefault="009F5F65" w:rsidP="00AF4B50">
      <w:pPr>
        <w:spacing w:line="250" w:lineRule="exact"/>
        <w:jc w:val="both"/>
        <w:rPr>
          <w:rFonts w:cstheme="minorHAnsi"/>
        </w:rPr>
      </w:pPr>
      <w:r w:rsidRPr="00F91B83">
        <w:rPr>
          <w:rFonts w:cstheme="minorHAnsi"/>
          <w:b/>
        </w:rPr>
        <w:t>L’ipotesi</w:t>
      </w:r>
      <w:r w:rsidR="00BB6C93" w:rsidRPr="00F91B83">
        <w:rPr>
          <w:rFonts w:cstheme="minorHAnsi"/>
          <w:b/>
        </w:rPr>
        <w:t xml:space="preserve"> di incentivazione ha </w:t>
      </w:r>
      <w:r w:rsidR="003239BC" w:rsidRPr="00F91B83">
        <w:rPr>
          <w:rFonts w:cstheme="minorHAnsi"/>
          <w:b/>
        </w:rPr>
        <w:t xml:space="preserve">dunque </w:t>
      </w:r>
      <w:r w:rsidR="00BB6C93" w:rsidRPr="00F91B83">
        <w:rPr>
          <w:rFonts w:cstheme="minorHAnsi"/>
          <w:b/>
        </w:rPr>
        <w:t>come obiettivo la conversione a gas di veicoli a benzina</w:t>
      </w:r>
      <w:r w:rsidR="00E104D4">
        <w:rPr>
          <w:rFonts w:cstheme="minorHAnsi"/>
          <w:b/>
        </w:rPr>
        <w:t xml:space="preserve"> e gasolio</w:t>
      </w:r>
      <w:r w:rsidR="00BB6C93" w:rsidRPr="00F91B83">
        <w:rPr>
          <w:rFonts w:cstheme="minorHAnsi"/>
          <w:b/>
        </w:rPr>
        <w:t xml:space="preserve"> </w:t>
      </w:r>
      <w:r w:rsidR="00946AAE" w:rsidRPr="00F91B83">
        <w:rPr>
          <w:rFonts w:cstheme="minorHAnsi"/>
          <w:b/>
        </w:rPr>
        <w:t>EURO 4 ed EURO 5</w:t>
      </w:r>
      <w:r w:rsidR="00BB6C93" w:rsidRPr="00F91B83">
        <w:rPr>
          <w:rFonts w:cstheme="minorHAnsi"/>
        </w:rPr>
        <w:t xml:space="preserve"> (c</w:t>
      </w:r>
      <w:r w:rsidRPr="00F91B83">
        <w:rPr>
          <w:rFonts w:cstheme="minorHAnsi"/>
        </w:rPr>
        <w:t xml:space="preserve">he secondo le rilevazioni ACI </w:t>
      </w:r>
      <w:r w:rsidR="00700553" w:rsidRPr="00F91B83">
        <w:rPr>
          <w:rFonts w:cstheme="minorHAnsi"/>
        </w:rPr>
        <w:t xml:space="preserve">riferite al 2019 </w:t>
      </w:r>
      <w:r w:rsidRPr="00F91B83">
        <w:rPr>
          <w:rFonts w:cstheme="minorHAnsi"/>
        </w:rPr>
        <w:t xml:space="preserve">hanno una </w:t>
      </w:r>
      <w:r w:rsidR="00BB6C93" w:rsidRPr="00F91B83">
        <w:rPr>
          <w:rFonts w:cstheme="minorHAnsi"/>
        </w:rPr>
        <w:t xml:space="preserve">consistenza </w:t>
      </w:r>
      <w:r w:rsidR="00BB6C93" w:rsidRPr="00F91B83">
        <w:rPr>
          <w:rFonts w:cstheme="minorHAnsi"/>
          <w:b/>
          <w:bCs/>
        </w:rPr>
        <w:t xml:space="preserve">di </w:t>
      </w:r>
      <w:r w:rsidR="003119FF" w:rsidRPr="00F91B83">
        <w:rPr>
          <w:rFonts w:cstheme="minorHAnsi"/>
          <w:b/>
          <w:bCs/>
        </w:rPr>
        <w:t>circa</w:t>
      </w:r>
      <w:r w:rsidR="00BB6C93" w:rsidRPr="00F91B83">
        <w:rPr>
          <w:rFonts w:cstheme="minorHAnsi"/>
          <w:b/>
          <w:bCs/>
        </w:rPr>
        <w:t xml:space="preserve"> </w:t>
      </w:r>
      <w:r w:rsidR="00141EB3">
        <w:rPr>
          <w:rFonts w:cstheme="minorHAnsi"/>
          <w:b/>
          <w:bCs/>
        </w:rPr>
        <w:t>15</w:t>
      </w:r>
      <w:r w:rsidR="003119FF" w:rsidRPr="00F91B83">
        <w:rPr>
          <w:rFonts w:cstheme="minorHAnsi"/>
          <w:b/>
          <w:bCs/>
        </w:rPr>
        <w:t>,</w:t>
      </w:r>
      <w:r w:rsidR="00141EB3">
        <w:rPr>
          <w:rFonts w:cstheme="minorHAnsi"/>
          <w:b/>
          <w:bCs/>
        </w:rPr>
        <w:t>5</w:t>
      </w:r>
      <w:r w:rsidR="00BB6C93" w:rsidRPr="00F91B83">
        <w:rPr>
          <w:rFonts w:cstheme="minorHAnsi"/>
          <w:b/>
          <w:bCs/>
        </w:rPr>
        <w:t xml:space="preserve"> milioni</w:t>
      </w:r>
      <w:r w:rsidR="00BB6C93" w:rsidRPr="00F91B83">
        <w:rPr>
          <w:rFonts w:cstheme="minorHAnsi"/>
        </w:rPr>
        <w:t xml:space="preserve"> di veicoli), garantendo un incentivo (per singolo veicolo) </w:t>
      </w:r>
      <w:r w:rsidR="00BB6C93" w:rsidRPr="00F91B83">
        <w:rPr>
          <w:rFonts w:cstheme="minorHAnsi"/>
          <w:b/>
          <w:bCs/>
        </w:rPr>
        <w:t xml:space="preserve">di </w:t>
      </w:r>
      <w:r w:rsidR="000977B3" w:rsidRPr="00F91B83">
        <w:rPr>
          <w:rFonts w:cstheme="minorHAnsi"/>
          <w:b/>
          <w:bCs/>
        </w:rPr>
        <w:t>6</w:t>
      </w:r>
      <w:r w:rsidR="00BB6C93" w:rsidRPr="00F91B83">
        <w:rPr>
          <w:rFonts w:cstheme="minorHAnsi"/>
          <w:b/>
          <w:bCs/>
        </w:rPr>
        <w:t>00 €</w:t>
      </w:r>
      <w:r w:rsidR="00BB6C93" w:rsidRPr="00F91B83">
        <w:rPr>
          <w:rFonts w:cstheme="minorHAnsi"/>
        </w:rPr>
        <w:t xml:space="preserve"> </w:t>
      </w:r>
      <w:r w:rsidR="00241DCC" w:rsidRPr="00F91B83">
        <w:rPr>
          <w:rFonts w:cstheme="minorHAnsi"/>
        </w:rPr>
        <w:t>in caso di</w:t>
      </w:r>
      <w:r w:rsidR="00BB6C93" w:rsidRPr="00F91B83">
        <w:rPr>
          <w:rFonts w:cstheme="minorHAnsi"/>
        </w:rPr>
        <w:t xml:space="preserve"> conversione di veicoli a GPL e di </w:t>
      </w:r>
      <w:r w:rsidR="000977B3" w:rsidRPr="00F91B83">
        <w:rPr>
          <w:rFonts w:cstheme="minorHAnsi"/>
          <w:b/>
          <w:bCs/>
        </w:rPr>
        <w:t>9</w:t>
      </w:r>
      <w:r w:rsidR="00BB6C93" w:rsidRPr="00F91B83">
        <w:rPr>
          <w:rFonts w:cstheme="minorHAnsi"/>
          <w:b/>
          <w:bCs/>
        </w:rPr>
        <w:t>00 €</w:t>
      </w:r>
      <w:r w:rsidR="00BB6C93" w:rsidRPr="00F91B83">
        <w:rPr>
          <w:rFonts w:cstheme="minorHAnsi"/>
        </w:rPr>
        <w:t xml:space="preserve"> per la conversione di veicoli a metano. Effettuando </w:t>
      </w:r>
      <w:r w:rsidRPr="00F91B83">
        <w:rPr>
          <w:rFonts w:cstheme="minorHAnsi"/>
        </w:rPr>
        <w:t>una proiezione basata sullo</w:t>
      </w:r>
      <w:r w:rsidR="00BB6C93" w:rsidRPr="00F91B83">
        <w:rPr>
          <w:rFonts w:cstheme="minorHAnsi"/>
        </w:rPr>
        <w:t xml:space="preserve"> storico</w:t>
      </w:r>
      <w:r w:rsidRPr="00F91B83">
        <w:rPr>
          <w:rFonts w:cstheme="minorHAnsi"/>
        </w:rPr>
        <w:t xml:space="preserve"> dei trend delle conversioni a gas risulta</w:t>
      </w:r>
      <w:r w:rsidR="00BB6C93" w:rsidRPr="00F91B83">
        <w:rPr>
          <w:rFonts w:cstheme="minorHAnsi"/>
        </w:rPr>
        <w:t xml:space="preserve"> che la misura</w:t>
      </w:r>
      <w:r w:rsidR="00EA46FD" w:rsidRPr="00F91B83">
        <w:rPr>
          <w:rFonts w:cstheme="minorHAnsi"/>
        </w:rPr>
        <w:t xml:space="preserve"> ipotizzata, strutturata</w:t>
      </w:r>
      <w:r w:rsidR="00BB6C93" w:rsidRPr="00F91B83">
        <w:rPr>
          <w:rFonts w:cstheme="minorHAnsi"/>
        </w:rPr>
        <w:t xml:space="preserve"> per un periodo di tre anni, garantirebbe</w:t>
      </w:r>
      <w:r w:rsidR="00A30A2C" w:rsidRPr="00F91B83">
        <w:rPr>
          <w:rFonts w:cstheme="minorHAnsi"/>
        </w:rPr>
        <w:t xml:space="preserve"> nel periodo</w:t>
      </w:r>
      <w:r w:rsidR="00BB6C93" w:rsidRPr="00F91B83">
        <w:rPr>
          <w:rFonts w:cstheme="minorHAnsi"/>
        </w:rPr>
        <w:t xml:space="preserve"> la conversione </w:t>
      </w:r>
      <w:r w:rsidR="00141EB3">
        <w:rPr>
          <w:rFonts w:cstheme="minorHAnsi"/>
        </w:rPr>
        <w:t>di circa</w:t>
      </w:r>
      <w:r w:rsidR="00BB6C93" w:rsidRPr="00F91B83">
        <w:rPr>
          <w:rFonts w:cstheme="minorHAnsi"/>
          <w:b/>
          <w:bCs/>
        </w:rPr>
        <w:t xml:space="preserve"> </w:t>
      </w:r>
      <w:r w:rsidR="000977B3" w:rsidRPr="00F91B83">
        <w:rPr>
          <w:rFonts w:cstheme="minorHAnsi"/>
          <w:b/>
          <w:bCs/>
        </w:rPr>
        <w:t>5</w:t>
      </w:r>
      <w:r w:rsidR="00BB6C93" w:rsidRPr="00F91B83">
        <w:rPr>
          <w:rFonts w:cstheme="minorHAnsi"/>
          <w:b/>
          <w:bCs/>
        </w:rPr>
        <w:t>00.000</w:t>
      </w:r>
      <w:r w:rsidR="00A77E16" w:rsidRPr="00F91B83">
        <w:rPr>
          <w:rFonts w:cstheme="minorHAnsi"/>
          <w:b/>
          <w:bCs/>
        </w:rPr>
        <w:t xml:space="preserve"> veicoli</w:t>
      </w:r>
      <w:r w:rsidR="007F3C58" w:rsidRPr="00F91B83">
        <w:rPr>
          <w:rFonts w:cstheme="minorHAnsi"/>
          <w:b/>
          <w:bCs/>
        </w:rPr>
        <w:t>, circa 4</w:t>
      </w:r>
      <w:r w:rsidR="00141EB3">
        <w:rPr>
          <w:rFonts w:cstheme="minorHAnsi"/>
          <w:b/>
          <w:bCs/>
        </w:rPr>
        <w:t>3</w:t>
      </w:r>
      <w:r w:rsidR="007F3C58" w:rsidRPr="00F91B83">
        <w:rPr>
          <w:rFonts w:cstheme="minorHAnsi"/>
          <w:b/>
          <w:bCs/>
        </w:rPr>
        <w:t>0.000</w:t>
      </w:r>
      <w:r w:rsidR="00BB6C93" w:rsidRPr="00F91B83">
        <w:rPr>
          <w:rFonts w:cstheme="minorHAnsi"/>
        </w:rPr>
        <w:t xml:space="preserve"> in più rispetto a quelli che si avrebbero da uno scenario tendenziale.</w:t>
      </w:r>
    </w:p>
    <w:p w:rsidR="00BB6C93" w:rsidRPr="00791779" w:rsidRDefault="00EA46FD" w:rsidP="00AF4B50">
      <w:pPr>
        <w:spacing w:line="250" w:lineRule="exact"/>
        <w:jc w:val="both"/>
        <w:rPr>
          <w:rFonts w:cstheme="minorHAnsi"/>
        </w:rPr>
      </w:pPr>
      <w:r w:rsidRPr="00F91B83">
        <w:rPr>
          <w:rFonts w:cstheme="minorHAnsi"/>
          <w:b/>
        </w:rPr>
        <w:t>Da un punto di vista ambientale</w:t>
      </w:r>
      <w:r w:rsidRPr="00F91B83">
        <w:rPr>
          <w:rFonts w:cstheme="minorHAnsi"/>
        </w:rPr>
        <w:t xml:space="preserve"> l</w:t>
      </w:r>
      <w:r w:rsidR="00BB6C93" w:rsidRPr="00F91B83">
        <w:rPr>
          <w:rFonts w:cstheme="minorHAnsi"/>
        </w:rPr>
        <w:t xml:space="preserve">’impatto della misura </w:t>
      </w:r>
      <w:r w:rsidR="00092B60" w:rsidRPr="00F91B83">
        <w:rPr>
          <w:rFonts w:cstheme="minorHAnsi"/>
        </w:rPr>
        <w:t xml:space="preserve">incentivante </w:t>
      </w:r>
      <w:r w:rsidR="00BB6C93" w:rsidRPr="00F91B83">
        <w:rPr>
          <w:rFonts w:cstheme="minorHAnsi"/>
        </w:rPr>
        <w:t xml:space="preserve">è quantificabile in una </w:t>
      </w:r>
      <w:r w:rsidR="00BB6C93" w:rsidRPr="00F91B83">
        <w:rPr>
          <w:rFonts w:cstheme="minorHAnsi"/>
          <w:b/>
          <w:bCs/>
        </w:rPr>
        <w:t xml:space="preserve">riduzione di </w:t>
      </w:r>
      <w:r w:rsidR="00141EB3">
        <w:rPr>
          <w:rFonts w:cstheme="minorHAnsi"/>
          <w:b/>
          <w:bCs/>
        </w:rPr>
        <w:t xml:space="preserve">oltre </w:t>
      </w:r>
      <w:r w:rsidR="000977B3" w:rsidRPr="00F91B83">
        <w:rPr>
          <w:rFonts w:cstheme="minorHAnsi"/>
          <w:b/>
          <w:bCs/>
        </w:rPr>
        <w:t>7</w:t>
      </w:r>
      <w:r w:rsidR="00141EB3">
        <w:rPr>
          <w:rFonts w:cstheme="minorHAnsi"/>
          <w:b/>
          <w:bCs/>
        </w:rPr>
        <w:t>,4</w:t>
      </w:r>
      <w:r w:rsidR="00075C81" w:rsidRPr="00F91B83">
        <w:rPr>
          <w:rFonts w:cstheme="minorHAnsi"/>
          <w:b/>
          <w:bCs/>
        </w:rPr>
        <w:t xml:space="preserve"> to</w:t>
      </w:r>
      <w:r w:rsidR="00BB6C93" w:rsidRPr="00F91B83">
        <w:rPr>
          <w:rFonts w:cstheme="minorHAnsi"/>
          <w:b/>
          <w:bCs/>
        </w:rPr>
        <w:t xml:space="preserve">nnellate di </w:t>
      </w:r>
      <w:r w:rsidR="00AF4B50" w:rsidRPr="00F91B83">
        <w:rPr>
          <w:rFonts w:cstheme="minorHAnsi"/>
          <w:b/>
          <w:bCs/>
        </w:rPr>
        <w:t xml:space="preserve">ossidi di azoto </w:t>
      </w:r>
      <w:r w:rsidR="00BB6C93" w:rsidRPr="00F91B83">
        <w:rPr>
          <w:rFonts w:cstheme="minorHAnsi"/>
          <w:b/>
          <w:bCs/>
        </w:rPr>
        <w:t xml:space="preserve">e di </w:t>
      </w:r>
      <w:r w:rsidR="00141EB3">
        <w:rPr>
          <w:rFonts w:cstheme="minorHAnsi"/>
          <w:b/>
          <w:bCs/>
        </w:rPr>
        <w:t>circa</w:t>
      </w:r>
      <w:r w:rsidR="00141EB3" w:rsidRPr="00F91B83">
        <w:rPr>
          <w:rFonts w:cstheme="minorHAnsi"/>
          <w:b/>
          <w:bCs/>
        </w:rPr>
        <w:t xml:space="preserve"> </w:t>
      </w:r>
      <w:r w:rsidR="00141EB3">
        <w:rPr>
          <w:rFonts w:cstheme="minorHAnsi"/>
          <w:b/>
          <w:bCs/>
        </w:rPr>
        <w:t>9</w:t>
      </w:r>
      <w:r w:rsidR="000977B3" w:rsidRPr="00F91B83">
        <w:rPr>
          <w:rFonts w:cstheme="minorHAnsi"/>
          <w:b/>
          <w:bCs/>
        </w:rPr>
        <w:t>0</w:t>
      </w:r>
      <w:r w:rsidR="00BB6C93" w:rsidRPr="00F91B83">
        <w:rPr>
          <w:rFonts w:cstheme="minorHAnsi"/>
          <w:b/>
          <w:bCs/>
        </w:rPr>
        <w:t>.000 tonnellate di CO</w:t>
      </w:r>
      <w:r w:rsidR="00BB6C93" w:rsidRPr="00F91B83">
        <w:rPr>
          <w:rFonts w:cstheme="minorHAnsi"/>
          <w:b/>
          <w:bCs/>
          <w:vertAlign w:val="subscript"/>
        </w:rPr>
        <w:t>2</w:t>
      </w:r>
      <w:r w:rsidRPr="00F91B83">
        <w:rPr>
          <w:rFonts w:cstheme="minorHAnsi"/>
        </w:rPr>
        <w:t xml:space="preserve"> nei tre anni considerati: a questi quantitativi va aggiunto </w:t>
      </w:r>
      <w:r w:rsidR="00BB6C93" w:rsidRPr="00F91B83">
        <w:rPr>
          <w:rFonts w:cstheme="minorHAnsi"/>
        </w:rPr>
        <w:t>l’effetto positivo</w:t>
      </w:r>
      <w:r w:rsidRPr="00F91B83">
        <w:rPr>
          <w:rFonts w:cstheme="minorHAnsi"/>
        </w:rPr>
        <w:t xml:space="preserve"> </w:t>
      </w:r>
      <w:r w:rsidR="00BB6C93" w:rsidRPr="00F91B83">
        <w:rPr>
          <w:rFonts w:cstheme="minorHAnsi"/>
        </w:rPr>
        <w:t>consolidato anche negli anni successivi</w:t>
      </w:r>
      <w:r w:rsidRPr="00F91B83">
        <w:rPr>
          <w:rFonts w:cstheme="minorHAnsi"/>
        </w:rPr>
        <w:t>, quantificabile pari ad una riduzione annua di</w:t>
      </w:r>
      <w:r w:rsidR="00BB6C93" w:rsidRPr="00F91B83">
        <w:rPr>
          <w:rFonts w:cstheme="minorHAnsi"/>
        </w:rPr>
        <w:t xml:space="preserve"> circa </w:t>
      </w:r>
      <w:r w:rsidR="00141EB3">
        <w:rPr>
          <w:rFonts w:cstheme="minorHAnsi"/>
          <w:b/>
          <w:bCs/>
        </w:rPr>
        <w:t>30</w:t>
      </w:r>
      <w:r w:rsidR="00BB6C93" w:rsidRPr="00F91B83">
        <w:rPr>
          <w:rFonts w:cstheme="minorHAnsi"/>
          <w:b/>
          <w:bCs/>
        </w:rPr>
        <w:t>.000 tonn</w:t>
      </w:r>
      <w:r w:rsidRPr="00F91B83">
        <w:rPr>
          <w:rFonts w:cstheme="minorHAnsi"/>
          <w:b/>
          <w:bCs/>
        </w:rPr>
        <w:t>ellate</w:t>
      </w:r>
      <w:r w:rsidR="00BB6C93" w:rsidRPr="00F91B83">
        <w:rPr>
          <w:rFonts w:cstheme="minorHAnsi"/>
          <w:b/>
          <w:bCs/>
        </w:rPr>
        <w:t xml:space="preserve"> di CO</w:t>
      </w:r>
      <w:r w:rsidR="00BB6C93" w:rsidRPr="00F91B83">
        <w:rPr>
          <w:rFonts w:cstheme="minorHAnsi"/>
          <w:b/>
          <w:bCs/>
          <w:vertAlign w:val="subscript"/>
        </w:rPr>
        <w:t>2</w:t>
      </w:r>
      <w:r w:rsidR="00075C81" w:rsidRPr="00F91B83">
        <w:rPr>
          <w:rFonts w:cstheme="minorHAnsi"/>
          <w:b/>
          <w:bCs/>
        </w:rPr>
        <w:t xml:space="preserve"> e  </w:t>
      </w:r>
      <w:r w:rsidR="000977B3" w:rsidRPr="00F91B83">
        <w:rPr>
          <w:rFonts w:cstheme="minorHAnsi"/>
          <w:b/>
          <w:bCs/>
        </w:rPr>
        <w:t>di circa 2</w:t>
      </w:r>
      <w:r w:rsidR="00141EB3">
        <w:rPr>
          <w:rFonts w:cstheme="minorHAnsi"/>
          <w:b/>
          <w:bCs/>
        </w:rPr>
        <w:t>,5</w:t>
      </w:r>
      <w:r w:rsidR="000977B3" w:rsidRPr="00F91B83">
        <w:rPr>
          <w:rFonts w:cstheme="minorHAnsi"/>
          <w:b/>
          <w:bCs/>
        </w:rPr>
        <w:t xml:space="preserve"> tonnellate</w:t>
      </w:r>
      <w:r w:rsidRPr="00F91B83">
        <w:rPr>
          <w:rFonts w:cstheme="minorHAnsi"/>
          <w:b/>
          <w:bCs/>
        </w:rPr>
        <w:t xml:space="preserve"> </w:t>
      </w:r>
      <w:r w:rsidR="00BB6C93" w:rsidRPr="00F91B83">
        <w:rPr>
          <w:rFonts w:cstheme="minorHAnsi"/>
          <w:b/>
          <w:bCs/>
        </w:rPr>
        <w:t xml:space="preserve">di </w:t>
      </w:r>
      <w:r w:rsidR="00AF4B50" w:rsidRPr="00F91B83">
        <w:rPr>
          <w:rFonts w:cstheme="minorHAnsi"/>
          <w:b/>
          <w:bCs/>
        </w:rPr>
        <w:t>ossidi di</w:t>
      </w:r>
      <w:r w:rsidR="00AF4B50">
        <w:rPr>
          <w:rFonts w:cstheme="minorHAnsi"/>
          <w:b/>
          <w:bCs/>
        </w:rPr>
        <w:t xml:space="preserve"> azoto</w:t>
      </w:r>
      <w:r w:rsidR="00BB6C93" w:rsidRPr="00791779">
        <w:rPr>
          <w:rFonts w:cstheme="minorHAnsi"/>
        </w:rPr>
        <w:t>.</w:t>
      </w:r>
    </w:p>
    <w:p w:rsidR="001534BE" w:rsidRPr="00791779" w:rsidRDefault="001534BE" w:rsidP="001534BE">
      <w:pPr>
        <w:spacing w:line="250" w:lineRule="exact"/>
        <w:jc w:val="both"/>
        <w:rPr>
          <w:rFonts w:cstheme="minorHAnsi"/>
        </w:rPr>
      </w:pPr>
      <w:r w:rsidRPr="00791779">
        <w:rPr>
          <w:rFonts w:cstheme="minorHAnsi"/>
          <w:b/>
        </w:rPr>
        <w:t>Da un punto di vista industriale</w:t>
      </w:r>
      <w:r w:rsidRPr="00791779">
        <w:rPr>
          <w:rFonts w:cstheme="minorHAnsi"/>
        </w:rPr>
        <w:t>, la misura tende a promuovere l’utilizzo ed una maggiore diffusione di tecnologie ad appannaggio di un settore nazionale, quello della produzione di componentistica per gli impianti a gas, che rappresenta un’eccellenza a livello mondiale. A tale comparto, si aggiunge poi tutto il settore delle imprese impegnate nella filiera di approvvigionamento e di distribuzione del gas, così come quello delle imprese artigiane (officine di trasformazione) che procedono alla installazione sugli autoveicoli dei kit di alimentazione a gas.</w:t>
      </w:r>
    </w:p>
    <w:p w:rsidR="00BB6C93" w:rsidRPr="00791779" w:rsidRDefault="00092B60" w:rsidP="00AF4B50">
      <w:pPr>
        <w:spacing w:line="250" w:lineRule="exact"/>
        <w:jc w:val="both"/>
        <w:rPr>
          <w:rFonts w:cstheme="minorHAnsi"/>
        </w:rPr>
      </w:pPr>
      <w:r w:rsidRPr="00791779">
        <w:rPr>
          <w:rFonts w:cstheme="minorHAnsi"/>
          <w:b/>
        </w:rPr>
        <w:t>Da un punto di vista sociale</w:t>
      </w:r>
      <w:r w:rsidR="005B0605" w:rsidRPr="00791779">
        <w:rPr>
          <w:rFonts w:cstheme="minorHAnsi"/>
          <w:b/>
        </w:rPr>
        <w:t>,</w:t>
      </w:r>
      <w:r w:rsidRPr="00791779">
        <w:rPr>
          <w:rFonts w:cstheme="minorHAnsi"/>
        </w:rPr>
        <w:t xml:space="preserve"> </w:t>
      </w:r>
      <w:r w:rsidR="00EB554C" w:rsidRPr="00791779">
        <w:rPr>
          <w:rFonts w:cstheme="minorHAnsi"/>
        </w:rPr>
        <w:t>l’elevata età media del</w:t>
      </w:r>
      <w:r w:rsidR="00BB6C93" w:rsidRPr="00791779">
        <w:rPr>
          <w:rFonts w:cstheme="minorHAnsi"/>
        </w:rPr>
        <w:t xml:space="preserve"> parco auto italiano </w:t>
      </w:r>
      <w:r w:rsidR="00EB554C" w:rsidRPr="00791779">
        <w:rPr>
          <w:rFonts w:cstheme="minorHAnsi"/>
        </w:rPr>
        <w:t>è riconducibile, in misura maggiore,</w:t>
      </w:r>
      <w:r w:rsidR="00BB6C93" w:rsidRPr="00791779">
        <w:rPr>
          <w:rFonts w:cstheme="minorHAnsi"/>
        </w:rPr>
        <w:t xml:space="preserve"> </w:t>
      </w:r>
      <w:r w:rsidR="00EB554C" w:rsidRPr="00791779">
        <w:rPr>
          <w:rFonts w:cstheme="minorHAnsi"/>
        </w:rPr>
        <w:t>alle</w:t>
      </w:r>
      <w:r w:rsidR="0028068C" w:rsidRPr="00791779">
        <w:rPr>
          <w:rFonts w:cstheme="minorHAnsi"/>
        </w:rPr>
        <w:t xml:space="preserve"> </w:t>
      </w:r>
      <w:r w:rsidR="00EB554C" w:rsidRPr="00791779">
        <w:rPr>
          <w:rFonts w:cstheme="minorHAnsi"/>
        </w:rPr>
        <w:t>esigue</w:t>
      </w:r>
      <w:r w:rsidR="00BB6C93" w:rsidRPr="00791779">
        <w:rPr>
          <w:rFonts w:cstheme="minorHAnsi"/>
        </w:rPr>
        <w:t xml:space="preserve"> risorse economiche disponibili per il consumatore finale</w:t>
      </w:r>
      <w:r w:rsidR="00EB554C" w:rsidRPr="00791779">
        <w:rPr>
          <w:rFonts w:cstheme="minorHAnsi"/>
        </w:rPr>
        <w:t>.</w:t>
      </w:r>
      <w:r w:rsidRPr="00791779">
        <w:rPr>
          <w:rFonts w:cstheme="minorHAnsi"/>
        </w:rPr>
        <w:t xml:space="preserve"> La misura ipotizzata </w:t>
      </w:r>
      <w:r w:rsidR="00BB6C93" w:rsidRPr="00791779">
        <w:rPr>
          <w:rFonts w:cstheme="minorHAnsi"/>
        </w:rPr>
        <w:t xml:space="preserve">promuove una cultura automobilistica favorevole all’uso di carburanti </w:t>
      </w:r>
      <w:r w:rsidRPr="00791779">
        <w:rPr>
          <w:rFonts w:cstheme="minorHAnsi"/>
        </w:rPr>
        <w:t xml:space="preserve">ecologici ed economici, </w:t>
      </w:r>
      <w:r w:rsidR="00FB1C8D">
        <w:rPr>
          <w:rFonts w:cstheme="minorHAnsi"/>
        </w:rPr>
        <w:t xml:space="preserve">e </w:t>
      </w:r>
      <w:r w:rsidR="00BB6C93" w:rsidRPr="00791779">
        <w:rPr>
          <w:rFonts w:cstheme="minorHAnsi"/>
        </w:rPr>
        <w:t>garantisce il diritto alla mobilità dei cittadini</w:t>
      </w:r>
      <w:r w:rsidR="00AF4B50">
        <w:rPr>
          <w:rFonts w:cstheme="minorHAnsi"/>
        </w:rPr>
        <w:t xml:space="preserve"> anche in epoca di domeniche ecologiche</w:t>
      </w:r>
      <w:r w:rsidR="00BB6C93" w:rsidRPr="00791779">
        <w:rPr>
          <w:rFonts w:cstheme="minorHAnsi"/>
        </w:rPr>
        <w:t>.</w:t>
      </w:r>
    </w:p>
    <w:p w:rsidR="00BB6C93" w:rsidRPr="00F91B83" w:rsidRDefault="00BB6C93" w:rsidP="00AF4B50">
      <w:pPr>
        <w:spacing w:after="0" w:line="250" w:lineRule="exact"/>
        <w:jc w:val="both"/>
        <w:rPr>
          <w:rFonts w:cstheme="minorHAnsi"/>
        </w:rPr>
      </w:pPr>
      <w:r w:rsidRPr="00791779">
        <w:rPr>
          <w:rFonts w:cstheme="minorHAnsi"/>
          <w:b/>
        </w:rPr>
        <w:t>Da un punto di vista economico</w:t>
      </w:r>
      <w:r w:rsidRPr="00791779">
        <w:rPr>
          <w:rFonts w:cstheme="minorHAnsi"/>
        </w:rPr>
        <w:t xml:space="preserve">, particolarmente significativo </w:t>
      </w:r>
      <w:r w:rsidRPr="00FB1C8D">
        <w:rPr>
          <w:rFonts w:cstheme="minorHAnsi"/>
        </w:rPr>
        <w:t>il risulta il gettito d’IVA</w:t>
      </w:r>
      <w:r w:rsidRPr="00791779">
        <w:rPr>
          <w:rFonts w:cstheme="minorHAnsi"/>
        </w:rPr>
        <w:t xml:space="preserve"> e di imposte di </w:t>
      </w:r>
      <w:r w:rsidRPr="00F91B83">
        <w:rPr>
          <w:rFonts w:cstheme="minorHAnsi"/>
        </w:rPr>
        <w:t xml:space="preserve">prodotto risultante dalle trasformazioni a gas dei veicoli che verrebbero incentivate tramite la misura proposta. Infatti, considerando il totale delle nuove conversioni a gas che si avrebbero con l’introduzione della misura incentivante </w:t>
      </w:r>
      <w:r w:rsidRPr="00F91B83">
        <w:rPr>
          <w:rFonts w:cstheme="minorHAnsi"/>
          <w:b/>
          <w:bCs/>
        </w:rPr>
        <w:t>si ottiene un gettito d’IVA pari a</w:t>
      </w:r>
      <w:r w:rsidR="000977B3" w:rsidRPr="00F91B83">
        <w:rPr>
          <w:rFonts w:cstheme="minorHAnsi"/>
          <w:b/>
          <w:bCs/>
        </w:rPr>
        <w:t xml:space="preserve"> circa</w:t>
      </w:r>
      <w:r w:rsidRPr="00F91B83">
        <w:rPr>
          <w:rFonts w:cstheme="minorHAnsi"/>
          <w:b/>
          <w:bCs/>
        </w:rPr>
        <w:t xml:space="preserve"> € </w:t>
      </w:r>
      <w:r w:rsidR="000977B3" w:rsidRPr="00F91B83">
        <w:rPr>
          <w:rFonts w:cstheme="minorHAnsi"/>
          <w:b/>
          <w:bCs/>
        </w:rPr>
        <w:t>1</w:t>
      </w:r>
      <w:r w:rsidR="00141EB3">
        <w:rPr>
          <w:rFonts w:cstheme="minorHAnsi"/>
          <w:b/>
          <w:bCs/>
        </w:rPr>
        <w:t>34</w:t>
      </w:r>
      <w:r w:rsidRPr="00F91B83">
        <w:rPr>
          <w:rFonts w:cstheme="minorHAnsi"/>
          <w:b/>
          <w:bCs/>
        </w:rPr>
        <w:t xml:space="preserve"> milioni, circa € </w:t>
      </w:r>
      <w:r w:rsidR="000977B3" w:rsidRPr="00F91B83">
        <w:rPr>
          <w:rFonts w:cstheme="minorHAnsi"/>
          <w:b/>
          <w:bCs/>
        </w:rPr>
        <w:t>11</w:t>
      </w:r>
      <w:r w:rsidR="00141EB3">
        <w:rPr>
          <w:rFonts w:cstheme="minorHAnsi"/>
          <w:b/>
          <w:bCs/>
        </w:rPr>
        <w:t>6</w:t>
      </w:r>
      <w:r w:rsidRPr="00F91B83">
        <w:rPr>
          <w:rFonts w:cstheme="minorHAnsi"/>
          <w:b/>
          <w:bCs/>
        </w:rPr>
        <w:t xml:space="preserve"> milioni in più </w:t>
      </w:r>
      <w:r w:rsidRPr="00F91B83">
        <w:rPr>
          <w:rFonts w:cstheme="minorHAnsi"/>
        </w:rPr>
        <w:t>rispetto a quelli che si avrebbero da uno scenario tendenziale in mancanza di incentivi.</w:t>
      </w:r>
      <w:r w:rsidR="005B0605" w:rsidRPr="00F91B83">
        <w:rPr>
          <w:rFonts w:cstheme="minorHAnsi"/>
        </w:rPr>
        <w:t xml:space="preserve"> </w:t>
      </w:r>
      <w:r w:rsidRPr="00F91B83">
        <w:rPr>
          <w:rFonts w:cstheme="minorHAnsi"/>
        </w:rPr>
        <w:t xml:space="preserve">A questa somma va aggiunto il </w:t>
      </w:r>
      <w:r w:rsidRPr="00F91B83">
        <w:rPr>
          <w:rFonts w:cstheme="minorHAnsi"/>
          <w:b/>
          <w:bCs/>
        </w:rPr>
        <w:t>maggiore gettito di imposte relative ai collaudi dei veicoli</w:t>
      </w:r>
      <w:r w:rsidRPr="00F91B83">
        <w:rPr>
          <w:rFonts w:cstheme="minorHAnsi"/>
        </w:rPr>
        <w:t xml:space="preserve"> (in termini di imposte di bollo e diritti da riconoscere alla motorizzazione), </w:t>
      </w:r>
      <w:r w:rsidRPr="00F91B83">
        <w:rPr>
          <w:rFonts w:cstheme="minorHAnsi"/>
          <w:b/>
          <w:bCs/>
        </w:rPr>
        <w:t xml:space="preserve">pari ad oltre € </w:t>
      </w:r>
      <w:r w:rsidR="00141EB3">
        <w:rPr>
          <w:rFonts w:cstheme="minorHAnsi"/>
          <w:b/>
          <w:bCs/>
        </w:rPr>
        <w:t>20</w:t>
      </w:r>
      <w:r w:rsidR="00141EB3" w:rsidRPr="00F91B83">
        <w:rPr>
          <w:rFonts w:cstheme="minorHAnsi"/>
          <w:b/>
          <w:bCs/>
        </w:rPr>
        <w:t xml:space="preserve"> </w:t>
      </w:r>
      <w:r w:rsidRPr="00F91B83">
        <w:rPr>
          <w:rFonts w:cstheme="minorHAnsi"/>
          <w:b/>
          <w:bCs/>
        </w:rPr>
        <w:t xml:space="preserve">milioni </w:t>
      </w:r>
      <w:r w:rsidRPr="00F91B83">
        <w:rPr>
          <w:rFonts w:cstheme="minorHAnsi"/>
        </w:rPr>
        <w:t>(</w:t>
      </w:r>
      <w:r w:rsidR="000977B3" w:rsidRPr="00F91B83">
        <w:rPr>
          <w:rFonts w:cstheme="minorHAnsi"/>
        </w:rPr>
        <w:t>circa</w:t>
      </w:r>
      <w:r w:rsidRPr="00F91B83">
        <w:rPr>
          <w:rFonts w:cstheme="minorHAnsi"/>
        </w:rPr>
        <w:t xml:space="preserve"> € </w:t>
      </w:r>
      <w:r w:rsidR="000977B3" w:rsidRPr="00F91B83">
        <w:rPr>
          <w:rFonts w:cstheme="minorHAnsi"/>
        </w:rPr>
        <w:t>1</w:t>
      </w:r>
      <w:r w:rsidR="00141EB3">
        <w:rPr>
          <w:rFonts w:cstheme="minorHAnsi"/>
        </w:rPr>
        <w:t>8</w:t>
      </w:r>
      <w:r w:rsidRPr="00F91B83">
        <w:rPr>
          <w:rFonts w:cstheme="minorHAnsi"/>
        </w:rPr>
        <w:t xml:space="preserve"> milioni in più rispetto allo scenario tendenziale), al netto delle maggiori entrate nel bilancio statale derivanti dalle imposte dirette pagate dalle imprese di produzione ed installazione dei kit di trasformazione.</w:t>
      </w:r>
    </w:p>
    <w:p w:rsidR="00BB6C93" w:rsidRPr="00F91B83" w:rsidRDefault="00BB6C93" w:rsidP="00AF4B50">
      <w:pPr>
        <w:spacing w:after="0" w:line="250" w:lineRule="exact"/>
        <w:jc w:val="both"/>
        <w:rPr>
          <w:rFonts w:cstheme="minorHAnsi"/>
          <w:b/>
        </w:rPr>
      </w:pPr>
      <w:r w:rsidRPr="00F91B83">
        <w:rPr>
          <w:rFonts w:cstheme="minorHAnsi"/>
        </w:rPr>
        <w:t xml:space="preserve">Dall’analisi si evince che </w:t>
      </w:r>
      <w:r w:rsidRPr="00F91B83">
        <w:rPr>
          <w:rFonts w:cstheme="minorHAnsi"/>
          <w:b/>
        </w:rPr>
        <w:t xml:space="preserve">il costo della misura nei tre anni, stimato in circa € </w:t>
      </w:r>
      <w:r w:rsidR="00141EB3">
        <w:rPr>
          <w:rFonts w:cstheme="minorHAnsi"/>
          <w:b/>
        </w:rPr>
        <w:t>30</w:t>
      </w:r>
      <w:r w:rsidR="00141EB3" w:rsidRPr="00F91B83">
        <w:rPr>
          <w:rFonts w:cstheme="minorHAnsi"/>
          <w:b/>
        </w:rPr>
        <w:t xml:space="preserve">0 </w:t>
      </w:r>
      <w:r w:rsidRPr="00F91B83">
        <w:rPr>
          <w:rFonts w:cstheme="minorHAnsi"/>
          <w:b/>
        </w:rPr>
        <w:t>milioni</w:t>
      </w:r>
      <w:r w:rsidRPr="00F91B83">
        <w:rPr>
          <w:rFonts w:cstheme="minorHAnsi"/>
        </w:rPr>
        <w:t xml:space="preserve">, </w:t>
      </w:r>
      <w:r w:rsidRPr="00F91B83">
        <w:rPr>
          <w:rFonts w:cstheme="minorHAnsi"/>
          <w:b/>
          <w:bCs/>
        </w:rPr>
        <w:t>verrà</w:t>
      </w:r>
      <w:r w:rsidRPr="00F91B83">
        <w:rPr>
          <w:rFonts w:cstheme="minorHAnsi"/>
        </w:rPr>
        <w:t xml:space="preserve"> in misura maggiore </w:t>
      </w:r>
      <w:r w:rsidRPr="00F91B83">
        <w:rPr>
          <w:rFonts w:cstheme="minorHAnsi"/>
          <w:b/>
          <w:bCs/>
        </w:rPr>
        <w:t xml:space="preserve">compensato </w:t>
      </w:r>
      <w:r w:rsidRPr="00F91B83">
        <w:rPr>
          <w:rFonts w:cstheme="minorHAnsi"/>
        </w:rPr>
        <w:t xml:space="preserve">dagli ulteriori gettiti derivanti dall’aumento delle conversioni e da quello proprio dello scenario tendenziale, </w:t>
      </w:r>
      <w:r w:rsidRPr="00F91B83">
        <w:rPr>
          <w:rFonts w:cstheme="minorHAnsi"/>
          <w:b/>
          <w:bCs/>
        </w:rPr>
        <w:t xml:space="preserve">configurandosi in circa € </w:t>
      </w:r>
      <w:r w:rsidR="00141EB3">
        <w:rPr>
          <w:rFonts w:cstheme="minorHAnsi"/>
          <w:b/>
          <w:bCs/>
        </w:rPr>
        <w:t>145</w:t>
      </w:r>
      <w:r w:rsidR="00141EB3" w:rsidRPr="00F91B83">
        <w:rPr>
          <w:rFonts w:cstheme="minorHAnsi"/>
          <w:b/>
          <w:bCs/>
        </w:rPr>
        <w:t xml:space="preserve"> </w:t>
      </w:r>
      <w:r w:rsidRPr="00F91B83">
        <w:rPr>
          <w:rFonts w:cstheme="minorHAnsi"/>
          <w:b/>
          <w:bCs/>
        </w:rPr>
        <w:t>milioni di oneri netti per lo Stato</w:t>
      </w:r>
      <w:r w:rsidRPr="00F91B83">
        <w:rPr>
          <w:rFonts w:cstheme="minorHAnsi"/>
        </w:rPr>
        <w:t>.</w:t>
      </w:r>
    </w:p>
    <w:p w:rsidR="00107EA3" w:rsidRPr="00791779" w:rsidRDefault="00EB554C" w:rsidP="00AF4B50">
      <w:pPr>
        <w:spacing w:after="0" w:line="250" w:lineRule="exact"/>
        <w:jc w:val="both"/>
        <w:rPr>
          <w:rFonts w:cstheme="minorHAnsi"/>
          <w:b/>
        </w:rPr>
      </w:pPr>
      <w:r w:rsidRPr="00F91B83">
        <w:rPr>
          <w:rFonts w:cstheme="minorHAnsi"/>
        </w:rPr>
        <w:t>Alla stima di questi costi</w:t>
      </w:r>
      <w:r w:rsidR="00107EA3" w:rsidRPr="00F91B83">
        <w:rPr>
          <w:rFonts w:cstheme="minorHAnsi"/>
          <w:b/>
        </w:rPr>
        <w:t xml:space="preserve"> si devono aggiungere le </w:t>
      </w:r>
      <w:r w:rsidRPr="00F91B83">
        <w:rPr>
          <w:rFonts w:cstheme="minorHAnsi"/>
          <w:b/>
        </w:rPr>
        <w:t xml:space="preserve">positive </w:t>
      </w:r>
      <w:r w:rsidR="00107EA3" w:rsidRPr="00F91B83">
        <w:rPr>
          <w:rFonts w:cstheme="minorHAnsi"/>
          <w:b/>
        </w:rPr>
        <w:t xml:space="preserve">ricadute sull’indotto auto, </w:t>
      </w:r>
      <w:r w:rsidRPr="00F91B83">
        <w:rPr>
          <w:rFonts w:cstheme="minorHAnsi"/>
        </w:rPr>
        <w:t>generate da una filiera (legata all</w:t>
      </w:r>
      <w:r w:rsidR="0028068C" w:rsidRPr="00F91B83">
        <w:rPr>
          <w:rFonts w:cstheme="minorHAnsi"/>
        </w:rPr>
        <w:t xml:space="preserve">’impiantistica per </w:t>
      </w:r>
      <w:r w:rsidRPr="00F91B83">
        <w:rPr>
          <w:rFonts w:cstheme="minorHAnsi"/>
        </w:rPr>
        <w:t>sistemi di propulsione a gas) che, come anticipato, è a vocazione interamente nazionale posizionandosi, tra l’altro, come settore di eccellenza a livello europeo.</w:t>
      </w:r>
      <w:r w:rsidRPr="00791779">
        <w:rPr>
          <w:rFonts w:cstheme="minorHAnsi"/>
          <w:b/>
        </w:rPr>
        <w:t xml:space="preserve"> </w:t>
      </w:r>
    </w:p>
    <w:p w:rsidR="00A77E16" w:rsidRDefault="00A77E16" w:rsidP="00AF4B50">
      <w:pPr>
        <w:spacing w:after="0" w:line="250" w:lineRule="exact"/>
        <w:jc w:val="both"/>
        <w:rPr>
          <w:rFonts w:cstheme="minorHAnsi"/>
        </w:rPr>
      </w:pPr>
      <w:r w:rsidRPr="00791779">
        <w:rPr>
          <w:rFonts w:cstheme="minorHAnsi"/>
          <w:b/>
          <w:bCs/>
        </w:rPr>
        <w:t>I costi del retrofit</w:t>
      </w:r>
      <w:r w:rsidRPr="00791779">
        <w:rPr>
          <w:rFonts w:cstheme="minorHAnsi"/>
        </w:rPr>
        <w:t xml:space="preserve"> dipendono dal tipo di impianto che si intende installare e dalla politica prezzi sui costi di mano d’opera delle singole officine.</w:t>
      </w:r>
      <w:r w:rsidR="00FB1C8D">
        <w:rPr>
          <w:rFonts w:cstheme="minorHAnsi"/>
        </w:rPr>
        <w:t xml:space="preserve"> </w:t>
      </w:r>
      <w:r w:rsidR="00DD5145">
        <w:rPr>
          <w:rFonts w:cstheme="minorHAnsi"/>
        </w:rPr>
        <w:t>Per un impianto a GPL s</w:t>
      </w:r>
      <w:r w:rsidRPr="00791779">
        <w:rPr>
          <w:rFonts w:cstheme="minorHAnsi"/>
        </w:rPr>
        <w:t>i può stimare</w:t>
      </w:r>
      <w:r w:rsidR="00AB5CDC" w:rsidRPr="00791779">
        <w:rPr>
          <w:rFonts w:cstheme="minorHAnsi"/>
        </w:rPr>
        <w:t>, tuttavia,</w:t>
      </w:r>
      <w:r w:rsidRPr="00791779">
        <w:rPr>
          <w:rFonts w:cstheme="minorHAnsi"/>
        </w:rPr>
        <w:t xml:space="preserve"> un costo medio di circa </w:t>
      </w:r>
      <w:r w:rsidRPr="000E5CD6">
        <w:rPr>
          <w:rFonts w:cstheme="minorHAnsi"/>
          <w:b/>
          <w:bCs/>
        </w:rPr>
        <w:t>1.200 €</w:t>
      </w:r>
      <w:r w:rsidRPr="00791779">
        <w:rPr>
          <w:rFonts w:cstheme="minorHAnsi"/>
        </w:rPr>
        <w:t xml:space="preserve"> </w:t>
      </w:r>
      <w:r w:rsidR="00BA201A" w:rsidRPr="00791779">
        <w:rPr>
          <w:rFonts w:cstheme="minorHAnsi"/>
        </w:rPr>
        <w:t xml:space="preserve">che può </w:t>
      </w:r>
      <w:r w:rsidR="00AB5CDC" w:rsidRPr="00791779">
        <w:rPr>
          <w:rFonts w:cstheme="minorHAnsi"/>
        </w:rPr>
        <w:t xml:space="preserve">variare di officina in officina, anche a seconda dell’area territoriale e dal </w:t>
      </w:r>
      <w:r w:rsidR="00FB7BA4" w:rsidRPr="00791779">
        <w:rPr>
          <w:rFonts w:cstheme="minorHAnsi"/>
        </w:rPr>
        <w:t>tipo di motore</w:t>
      </w:r>
      <w:r w:rsidR="00AB5CDC" w:rsidRPr="00791779">
        <w:rPr>
          <w:rFonts w:cstheme="minorHAnsi"/>
        </w:rPr>
        <w:t xml:space="preserve"> della vettura</w:t>
      </w:r>
      <w:r w:rsidR="00FB7BA4" w:rsidRPr="00791779">
        <w:rPr>
          <w:rFonts w:cstheme="minorHAnsi"/>
        </w:rPr>
        <w:t>.</w:t>
      </w:r>
    </w:p>
    <w:p w:rsidR="005A7FC5" w:rsidRDefault="005A7FC5" w:rsidP="00AF4B50">
      <w:pPr>
        <w:spacing w:after="0" w:line="250" w:lineRule="exact"/>
        <w:jc w:val="both"/>
        <w:rPr>
          <w:rFonts w:cstheme="minorHAnsi"/>
        </w:rPr>
      </w:pPr>
    </w:p>
    <w:p w:rsidR="005A7FC5" w:rsidRDefault="005A7FC5" w:rsidP="00AF4B50">
      <w:pPr>
        <w:spacing w:after="0" w:line="250" w:lineRule="exact"/>
        <w:jc w:val="both"/>
        <w:rPr>
          <w:rFonts w:cstheme="minorHAnsi"/>
        </w:rPr>
      </w:pPr>
    </w:p>
    <w:p w:rsidR="00362132" w:rsidRDefault="00362132" w:rsidP="00AF4B50">
      <w:pPr>
        <w:spacing w:after="0" w:line="250" w:lineRule="exact"/>
        <w:jc w:val="both"/>
        <w:rPr>
          <w:rFonts w:cstheme="minorHAnsi"/>
        </w:rPr>
      </w:pPr>
    </w:p>
    <w:p w:rsidR="005A7FC5" w:rsidRDefault="005A7FC5" w:rsidP="00AF4B50">
      <w:pPr>
        <w:spacing w:after="0" w:line="250" w:lineRule="exact"/>
        <w:jc w:val="both"/>
        <w:rPr>
          <w:rFonts w:cstheme="minorHAnsi"/>
        </w:rPr>
      </w:pPr>
    </w:p>
    <w:p w:rsidR="005A7FC5" w:rsidRDefault="00362132" w:rsidP="00AF4B50">
      <w:pPr>
        <w:spacing w:after="0" w:line="250" w:lineRule="exact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ECAFA0F">
            <wp:simplePos x="0" y="0"/>
            <wp:positionH relativeFrom="column">
              <wp:posOffset>41275</wp:posOffset>
            </wp:positionH>
            <wp:positionV relativeFrom="paragraph">
              <wp:posOffset>174625</wp:posOffset>
            </wp:positionV>
            <wp:extent cx="5991860" cy="5286375"/>
            <wp:effectExtent l="0" t="0" r="889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7" t="24651" r="26230" b="10109"/>
                    <a:stretch/>
                  </pic:blipFill>
                  <pic:spPr bwMode="auto">
                    <a:xfrm>
                      <a:off x="0" y="0"/>
                      <a:ext cx="5991860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FC5" w:rsidRPr="00791779" w:rsidRDefault="005A7FC5" w:rsidP="00AF4B50">
      <w:pPr>
        <w:spacing w:after="0" w:line="250" w:lineRule="exact"/>
        <w:jc w:val="both"/>
        <w:rPr>
          <w:rFonts w:cstheme="minorHAnsi"/>
        </w:rPr>
      </w:pPr>
    </w:p>
    <w:p w:rsidR="007D6089" w:rsidRDefault="007D6089" w:rsidP="00AF4B50">
      <w:pPr>
        <w:spacing w:after="0" w:line="250" w:lineRule="exact"/>
        <w:jc w:val="both"/>
        <w:rPr>
          <w:rFonts w:cstheme="minorHAnsi"/>
          <w:b/>
          <w:bCs/>
          <w:u w:val="single"/>
        </w:rPr>
      </w:pPr>
    </w:p>
    <w:p w:rsidR="00A4700F" w:rsidRDefault="00A4700F">
      <w:pPr>
        <w:spacing w:after="0" w:line="250" w:lineRule="exact"/>
        <w:jc w:val="both"/>
        <w:rPr>
          <w:rFonts w:cstheme="minorHAnsi"/>
          <w:b/>
          <w:bCs/>
        </w:rPr>
      </w:pPr>
    </w:p>
    <w:p w:rsidR="005A7FC5" w:rsidRPr="00362132" w:rsidRDefault="005A7FC5">
      <w:pPr>
        <w:spacing w:after="0" w:line="250" w:lineRule="exact"/>
        <w:jc w:val="both"/>
        <w:rPr>
          <w:rFonts w:cstheme="minorHAnsi"/>
        </w:rPr>
      </w:pPr>
    </w:p>
    <w:p w:rsidR="005A7FC5" w:rsidRPr="00362132" w:rsidRDefault="005A7FC5">
      <w:pPr>
        <w:spacing w:after="0" w:line="250" w:lineRule="exact"/>
        <w:jc w:val="both"/>
        <w:rPr>
          <w:rFonts w:cstheme="minorHAnsi"/>
        </w:rPr>
      </w:pPr>
    </w:p>
    <w:p w:rsidR="005A7FC5" w:rsidRPr="00362132" w:rsidRDefault="005A7FC5">
      <w:pPr>
        <w:spacing w:after="0" w:line="250" w:lineRule="exact"/>
        <w:jc w:val="both"/>
        <w:rPr>
          <w:rFonts w:cstheme="minorHAnsi"/>
        </w:rPr>
      </w:pPr>
    </w:p>
    <w:p w:rsidR="005A7FC5" w:rsidRPr="00362132" w:rsidRDefault="005A7FC5">
      <w:pPr>
        <w:spacing w:after="0" w:line="250" w:lineRule="exact"/>
        <w:jc w:val="both"/>
        <w:rPr>
          <w:rFonts w:cstheme="minorHAnsi"/>
        </w:rPr>
      </w:pPr>
    </w:p>
    <w:p w:rsidR="005A7FC5" w:rsidRDefault="005A7FC5">
      <w:pPr>
        <w:spacing w:after="0" w:line="250" w:lineRule="exact"/>
        <w:jc w:val="both"/>
        <w:rPr>
          <w:rFonts w:cstheme="minorHAnsi"/>
          <w:b/>
          <w:bCs/>
        </w:rPr>
      </w:pPr>
    </w:p>
    <w:p w:rsidR="005A7FC5" w:rsidRDefault="005A7FC5">
      <w:pPr>
        <w:spacing w:after="0" w:line="250" w:lineRule="exact"/>
        <w:jc w:val="both"/>
        <w:rPr>
          <w:rFonts w:cstheme="minorHAnsi"/>
          <w:b/>
          <w:bCs/>
        </w:rPr>
      </w:pPr>
    </w:p>
    <w:p w:rsidR="005A7FC5" w:rsidRDefault="005A7FC5">
      <w:pPr>
        <w:spacing w:after="0" w:line="250" w:lineRule="exact"/>
        <w:jc w:val="both"/>
        <w:rPr>
          <w:rFonts w:cstheme="minorHAnsi"/>
          <w:b/>
          <w:bCs/>
        </w:rPr>
      </w:pPr>
    </w:p>
    <w:p w:rsidR="005A7FC5" w:rsidRDefault="005A7FC5">
      <w:pPr>
        <w:spacing w:after="0" w:line="250" w:lineRule="exact"/>
        <w:jc w:val="both"/>
        <w:rPr>
          <w:rFonts w:cstheme="minorHAnsi"/>
          <w:b/>
          <w:bCs/>
        </w:rPr>
      </w:pPr>
    </w:p>
    <w:p w:rsidR="005A7FC5" w:rsidRDefault="005A7FC5">
      <w:pPr>
        <w:spacing w:after="0" w:line="250" w:lineRule="exact"/>
        <w:jc w:val="both"/>
        <w:rPr>
          <w:rFonts w:cstheme="minorHAnsi"/>
          <w:b/>
          <w:bCs/>
        </w:rPr>
      </w:pPr>
    </w:p>
    <w:p w:rsidR="005A7FC5" w:rsidRDefault="005A7FC5">
      <w:pPr>
        <w:spacing w:after="0" w:line="250" w:lineRule="exact"/>
        <w:jc w:val="both"/>
        <w:rPr>
          <w:rFonts w:cstheme="minorHAnsi"/>
          <w:b/>
          <w:bCs/>
        </w:rPr>
      </w:pPr>
    </w:p>
    <w:sectPr w:rsidR="005A7FC5" w:rsidSect="002F35AE">
      <w:headerReference w:type="default" r:id="rId9"/>
      <w:pgSz w:w="11906" w:h="16838"/>
      <w:pgMar w:top="1417" w:right="1134" w:bottom="993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9A" w:rsidRDefault="00D92E9A" w:rsidP="003064ED">
      <w:pPr>
        <w:spacing w:after="0" w:line="240" w:lineRule="auto"/>
      </w:pPr>
      <w:r>
        <w:separator/>
      </w:r>
    </w:p>
  </w:endnote>
  <w:endnote w:type="continuationSeparator" w:id="0">
    <w:p w:rsidR="00D92E9A" w:rsidRDefault="00D92E9A" w:rsidP="0030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9A" w:rsidRDefault="00D92E9A" w:rsidP="003064ED">
      <w:pPr>
        <w:spacing w:after="0" w:line="240" w:lineRule="auto"/>
      </w:pPr>
      <w:r>
        <w:separator/>
      </w:r>
    </w:p>
  </w:footnote>
  <w:footnote w:type="continuationSeparator" w:id="0">
    <w:p w:rsidR="00D92E9A" w:rsidRDefault="00D92E9A" w:rsidP="003064ED">
      <w:pPr>
        <w:spacing w:after="0" w:line="240" w:lineRule="auto"/>
      </w:pPr>
      <w:r>
        <w:continuationSeparator/>
      </w:r>
    </w:p>
  </w:footnote>
  <w:footnote w:id="1">
    <w:p w:rsidR="00400CB8" w:rsidRDefault="00400CB8" w:rsidP="00400CB8">
      <w:pPr>
        <w:pStyle w:val="Testonotaapidipagina"/>
      </w:pPr>
      <w:r>
        <w:rPr>
          <w:rStyle w:val="Rimandonotaapidipagina"/>
        </w:rPr>
        <w:footnoteRef/>
      </w:r>
      <w:r>
        <w:t xml:space="preserve"> Ai fini del calcolo, per la definizione dei prezzi dei carburanti è stato preso come riferimento la rilevazione mensile del MISE, relativa al mese di Febbraio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5AE" w:rsidRDefault="002F35AE" w:rsidP="002F35AE">
    <w:pPr>
      <w:pStyle w:val="Intestazione"/>
      <w:ind w:left="-1134"/>
    </w:pPr>
    <w:r>
      <w:rPr>
        <w:noProof/>
      </w:rPr>
      <w:drawing>
        <wp:inline distT="0" distB="0" distL="0" distR="0" wp14:anchorId="1D79390F" wp14:editId="4E8EC12D">
          <wp:extent cx="7550785" cy="1533525"/>
          <wp:effectExtent l="0" t="0" r="0" b="9525"/>
          <wp:docPr id="5" name="Immagine 5" descr="assogasliquidi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ogasliquidi_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411"/>
                  <a:stretch/>
                </pic:blipFill>
                <pic:spPr bwMode="auto">
                  <a:xfrm>
                    <a:off x="0" y="0"/>
                    <a:ext cx="7595399" cy="1542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430"/>
    <w:multiLevelType w:val="hybridMultilevel"/>
    <w:tmpl w:val="0EC6FE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1D9C"/>
    <w:multiLevelType w:val="hybridMultilevel"/>
    <w:tmpl w:val="475E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94DBD"/>
    <w:multiLevelType w:val="hybridMultilevel"/>
    <w:tmpl w:val="C3286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A4"/>
    <w:rsid w:val="0000613C"/>
    <w:rsid w:val="0000654B"/>
    <w:rsid w:val="00012341"/>
    <w:rsid w:val="00075C81"/>
    <w:rsid w:val="000761B1"/>
    <w:rsid w:val="00085ABB"/>
    <w:rsid w:val="00092B60"/>
    <w:rsid w:val="00094C0A"/>
    <w:rsid w:val="000977B3"/>
    <w:rsid w:val="000E5CD6"/>
    <w:rsid w:val="000F628C"/>
    <w:rsid w:val="00107EA3"/>
    <w:rsid w:val="00111419"/>
    <w:rsid w:val="00112FA2"/>
    <w:rsid w:val="00127514"/>
    <w:rsid w:val="00141A1F"/>
    <w:rsid w:val="00141EB3"/>
    <w:rsid w:val="00142037"/>
    <w:rsid w:val="001534BE"/>
    <w:rsid w:val="0015653A"/>
    <w:rsid w:val="0015666B"/>
    <w:rsid w:val="001700D5"/>
    <w:rsid w:val="001747AB"/>
    <w:rsid w:val="00195F34"/>
    <w:rsid w:val="001A5308"/>
    <w:rsid w:val="001B08AF"/>
    <w:rsid w:val="001C47A4"/>
    <w:rsid w:val="001D073F"/>
    <w:rsid w:val="001D57EB"/>
    <w:rsid w:val="001E0EE1"/>
    <w:rsid w:val="00213518"/>
    <w:rsid w:val="00241DCC"/>
    <w:rsid w:val="00264225"/>
    <w:rsid w:val="00270DB8"/>
    <w:rsid w:val="00271544"/>
    <w:rsid w:val="002726A9"/>
    <w:rsid w:val="0028068C"/>
    <w:rsid w:val="002870E5"/>
    <w:rsid w:val="002A1DE4"/>
    <w:rsid w:val="002A6079"/>
    <w:rsid w:val="002D0D18"/>
    <w:rsid w:val="002D2AA4"/>
    <w:rsid w:val="002D6057"/>
    <w:rsid w:val="002D6ECD"/>
    <w:rsid w:val="002F1B73"/>
    <w:rsid w:val="002F33C4"/>
    <w:rsid w:val="002F35AE"/>
    <w:rsid w:val="002F38CA"/>
    <w:rsid w:val="002F7C35"/>
    <w:rsid w:val="003064ED"/>
    <w:rsid w:val="003119FF"/>
    <w:rsid w:val="00312557"/>
    <w:rsid w:val="00313B00"/>
    <w:rsid w:val="003239BC"/>
    <w:rsid w:val="00362132"/>
    <w:rsid w:val="003655AE"/>
    <w:rsid w:val="00371A6B"/>
    <w:rsid w:val="003877DA"/>
    <w:rsid w:val="003E7A5C"/>
    <w:rsid w:val="00400CB8"/>
    <w:rsid w:val="00404CA6"/>
    <w:rsid w:val="00430441"/>
    <w:rsid w:val="004415B0"/>
    <w:rsid w:val="00456860"/>
    <w:rsid w:val="00466A44"/>
    <w:rsid w:val="00467E79"/>
    <w:rsid w:val="00473065"/>
    <w:rsid w:val="00487CDA"/>
    <w:rsid w:val="004D4FEC"/>
    <w:rsid w:val="004D6528"/>
    <w:rsid w:val="004D787C"/>
    <w:rsid w:val="005063EA"/>
    <w:rsid w:val="00527670"/>
    <w:rsid w:val="00546309"/>
    <w:rsid w:val="00557866"/>
    <w:rsid w:val="00563A9B"/>
    <w:rsid w:val="00571D97"/>
    <w:rsid w:val="0057367C"/>
    <w:rsid w:val="005A0235"/>
    <w:rsid w:val="005A0C8D"/>
    <w:rsid w:val="005A7FC5"/>
    <w:rsid w:val="005B0605"/>
    <w:rsid w:val="005E70D9"/>
    <w:rsid w:val="00617B10"/>
    <w:rsid w:val="006245B9"/>
    <w:rsid w:val="00626C8E"/>
    <w:rsid w:val="00627F51"/>
    <w:rsid w:val="00640FD6"/>
    <w:rsid w:val="00660D1D"/>
    <w:rsid w:val="00693406"/>
    <w:rsid w:val="006B1C33"/>
    <w:rsid w:val="006C563E"/>
    <w:rsid w:val="006E7734"/>
    <w:rsid w:val="006F66F4"/>
    <w:rsid w:val="00700553"/>
    <w:rsid w:val="00763F32"/>
    <w:rsid w:val="00771939"/>
    <w:rsid w:val="00786221"/>
    <w:rsid w:val="00791779"/>
    <w:rsid w:val="007C5F87"/>
    <w:rsid w:val="007D143F"/>
    <w:rsid w:val="007D6089"/>
    <w:rsid w:val="007F3C3F"/>
    <w:rsid w:val="007F3C58"/>
    <w:rsid w:val="00805720"/>
    <w:rsid w:val="0080633A"/>
    <w:rsid w:val="00856A14"/>
    <w:rsid w:val="00863E65"/>
    <w:rsid w:val="00892C2E"/>
    <w:rsid w:val="008B281F"/>
    <w:rsid w:val="008D0CF4"/>
    <w:rsid w:val="008F06A1"/>
    <w:rsid w:val="00920AE2"/>
    <w:rsid w:val="00922434"/>
    <w:rsid w:val="00932589"/>
    <w:rsid w:val="00946AAE"/>
    <w:rsid w:val="0095284B"/>
    <w:rsid w:val="00986FC0"/>
    <w:rsid w:val="009A5EF0"/>
    <w:rsid w:val="009A61CC"/>
    <w:rsid w:val="009F5F65"/>
    <w:rsid w:val="00A07CAC"/>
    <w:rsid w:val="00A115EB"/>
    <w:rsid w:val="00A14F41"/>
    <w:rsid w:val="00A30A2C"/>
    <w:rsid w:val="00A46F0B"/>
    <w:rsid w:val="00A4700F"/>
    <w:rsid w:val="00A575FA"/>
    <w:rsid w:val="00A723B5"/>
    <w:rsid w:val="00A77E16"/>
    <w:rsid w:val="00A91B88"/>
    <w:rsid w:val="00A95FD5"/>
    <w:rsid w:val="00AA1220"/>
    <w:rsid w:val="00AB5CDC"/>
    <w:rsid w:val="00AB7C3A"/>
    <w:rsid w:val="00AF4B50"/>
    <w:rsid w:val="00B00475"/>
    <w:rsid w:val="00B26702"/>
    <w:rsid w:val="00B3403E"/>
    <w:rsid w:val="00B358E0"/>
    <w:rsid w:val="00B5207B"/>
    <w:rsid w:val="00B66418"/>
    <w:rsid w:val="00B80E5D"/>
    <w:rsid w:val="00B93A6D"/>
    <w:rsid w:val="00BA201A"/>
    <w:rsid w:val="00BB1EFF"/>
    <w:rsid w:val="00BB6C93"/>
    <w:rsid w:val="00BC1BD9"/>
    <w:rsid w:val="00BC2F25"/>
    <w:rsid w:val="00BD1DE7"/>
    <w:rsid w:val="00BE6EEF"/>
    <w:rsid w:val="00BF6CE2"/>
    <w:rsid w:val="00C56579"/>
    <w:rsid w:val="00C71BF7"/>
    <w:rsid w:val="00CC1E37"/>
    <w:rsid w:val="00CD6980"/>
    <w:rsid w:val="00CF6821"/>
    <w:rsid w:val="00D042D6"/>
    <w:rsid w:val="00D106B5"/>
    <w:rsid w:val="00D1593B"/>
    <w:rsid w:val="00D24D94"/>
    <w:rsid w:val="00D55148"/>
    <w:rsid w:val="00D569AC"/>
    <w:rsid w:val="00D60D3B"/>
    <w:rsid w:val="00D92E9A"/>
    <w:rsid w:val="00D97C00"/>
    <w:rsid w:val="00DA4500"/>
    <w:rsid w:val="00DA6B59"/>
    <w:rsid w:val="00DD5145"/>
    <w:rsid w:val="00E104D4"/>
    <w:rsid w:val="00E11C4F"/>
    <w:rsid w:val="00E2559C"/>
    <w:rsid w:val="00E502BE"/>
    <w:rsid w:val="00E71A25"/>
    <w:rsid w:val="00EA46FD"/>
    <w:rsid w:val="00EB554C"/>
    <w:rsid w:val="00EF1FEE"/>
    <w:rsid w:val="00EF4CD5"/>
    <w:rsid w:val="00F0555C"/>
    <w:rsid w:val="00F06F23"/>
    <w:rsid w:val="00F11D62"/>
    <w:rsid w:val="00F24364"/>
    <w:rsid w:val="00F347AD"/>
    <w:rsid w:val="00F5370C"/>
    <w:rsid w:val="00F63392"/>
    <w:rsid w:val="00F75183"/>
    <w:rsid w:val="00F91B83"/>
    <w:rsid w:val="00F91D74"/>
    <w:rsid w:val="00FA5EA5"/>
    <w:rsid w:val="00FB1C8D"/>
    <w:rsid w:val="00FB72BF"/>
    <w:rsid w:val="00FB7BA4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03BCA-E7BD-422D-AA6B-5174385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0977B3"/>
    <w:pPr>
      <w:widowControl w:val="0"/>
      <w:spacing w:after="0" w:line="240" w:lineRule="auto"/>
      <w:ind w:left="113"/>
      <w:outlineLvl w:val="1"/>
    </w:pPr>
    <w:rPr>
      <w:rFonts w:ascii="Tahoma" w:eastAsia="Tahoma" w:hAnsi="Tahoma"/>
      <w:b/>
      <w:bCs/>
      <w:i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next w:val="Normale"/>
    <w:uiPriority w:val="99"/>
    <w:rsid w:val="001C47A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1C47A4"/>
    <w:rPr>
      <w:color w:val="000000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D4B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4E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64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64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64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2C2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0977B3"/>
    <w:rPr>
      <w:rFonts w:ascii="Tahoma" w:eastAsia="Tahoma" w:hAnsi="Tahoma"/>
      <w:b/>
      <w:bCs/>
      <w:i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977B3"/>
    <w:pPr>
      <w:widowControl w:val="0"/>
      <w:spacing w:after="0" w:line="240" w:lineRule="auto"/>
      <w:ind w:left="113"/>
    </w:pPr>
    <w:rPr>
      <w:rFonts w:ascii="Tahoma" w:eastAsia="Tahoma" w:hAnsi="Tahom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77B3"/>
    <w:rPr>
      <w:rFonts w:ascii="Tahoma" w:eastAsia="Tahoma" w:hAnsi="Tahoma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00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0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0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0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0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47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00F"/>
  </w:style>
  <w:style w:type="paragraph" w:styleId="Pidipagina">
    <w:name w:val="footer"/>
    <w:basedOn w:val="Normale"/>
    <w:link w:val="PidipaginaCarattere"/>
    <w:uiPriority w:val="99"/>
    <w:unhideWhenUsed/>
    <w:rsid w:val="00A47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C2D6-5291-4B19-ADAC-E02AD978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Lentini</dc:creator>
  <cp:lastModifiedBy>Galassi Fabrizio</cp:lastModifiedBy>
  <cp:revision>2</cp:revision>
  <cp:lastPrinted>2020-04-20T16:28:00Z</cp:lastPrinted>
  <dcterms:created xsi:type="dcterms:W3CDTF">2020-11-09T11:35:00Z</dcterms:created>
  <dcterms:modified xsi:type="dcterms:W3CDTF">2020-11-09T11:35:00Z</dcterms:modified>
</cp:coreProperties>
</file>